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6312" w14:textId="6CBA3FAA" w:rsidR="005E0570" w:rsidRDefault="006E24D8" w:rsidP="005E0570">
      <w:pPr>
        <w:pStyle w:val="CONFIDENTIAL"/>
        <w:spacing w:before="0" w:line="276" w:lineRule="auto"/>
        <w:ind w:right="0"/>
        <w:jc w:val="left"/>
        <w:rPr>
          <w:rFonts w:asciiTheme="minorHAnsi" w:hAnsiTheme="minorHAnsi" w:cstheme="minorHAnsi"/>
          <w:i w:val="0"/>
          <w:sz w:val="22"/>
          <w:szCs w:val="22"/>
          <w:lang w:val="en-US"/>
        </w:rPr>
      </w:pPr>
      <w:r>
        <w:rPr>
          <w:rFonts w:asciiTheme="minorHAnsi" w:hAnsiTheme="minorHAnsi" w:cstheme="minorHAnsi"/>
          <w:i w:val="0"/>
          <w:noProof/>
          <w:sz w:val="22"/>
          <w:szCs w:val="22"/>
          <w:lang w:val="en-US"/>
        </w:rPr>
        <w:drawing>
          <wp:inline distT="0" distB="0" distL="0" distR="0" wp14:anchorId="402952FF" wp14:editId="02A3D55E">
            <wp:extent cx="2298700" cy="1834467"/>
            <wp:effectExtent l="0" t="0" r="635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8">
                      <a:extLst>
                        <a:ext uri="{28A0092B-C50C-407E-A947-70E740481C1C}">
                          <a14:useLocalDpi xmlns:a14="http://schemas.microsoft.com/office/drawing/2010/main" val="0"/>
                        </a:ext>
                      </a:extLst>
                    </a:blip>
                    <a:stretch>
                      <a:fillRect/>
                    </a:stretch>
                  </pic:blipFill>
                  <pic:spPr>
                    <a:xfrm>
                      <a:off x="0" y="0"/>
                      <a:ext cx="2332767" cy="1861654"/>
                    </a:xfrm>
                    <a:prstGeom prst="rect">
                      <a:avLst/>
                    </a:prstGeom>
                  </pic:spPr>
                </pic:pic>
              </a:graphicData>
            </a:graphic>
          </wp:inline>
        </w:drawing>
      </w:r>
    </w:p>
    <w:p w14:paraId="26664E68" w14:textId="5F3F4C78" w:rsidR="005E0570" w:rsidRDefault="005E0570" w:rsidP="005E0570">
      <w:pPr>
        <w:pStyle w:val="CONFIDENTIAL"/>
        <w:spacing w:before="0" w:line="276" w:lineRule="auto"/>
        <w:ind w:right="0"/>
        <w:jc w:val="left"/>
        <w:rPr>
          <w:rFonts w:asciiTheme="minorHAnsi" w:hAnsiTheme="minorHAnsi" w:cstheme="minorHAnsi"/>
          <w:i w:val="0"/>
          <w:sz w:val="22"/>
          <w:szCs w:val="22"/>
          <w:lang w:val="en-US"/>
        </w:rPr>
      </w:pPr>
    </w:p>
    <w:p w14:paraId="3DDAAD58" w14:textId="77777777" w:rsidR="005E0570" w:rsidRDefault="005E0570" w:rsidP="005E0570">
      <w:pPr>
        <w:pStyle w:val="CONFIDENTIAL"/>
        <w:spacing w:before="0" w:line="276" w:lineRule="auto"/>
        <w:ind w:right="0"/>
        <w:jc w:val="left"/>
        <w:rPr>
          <w:rFonts w:asciiTheme="minorHAnsi" w:hAnsiTheme="minorHAnsi" w:cstheme="minorHAnsi"/>
          <w:i w:val="0"/>
          <w:sz w:val="22"/>
          <w:szCs w:val="22"/>
          <w:lang w:val="en-US"/>
        </w:rPr>
      </w:pPr>
    </w:p>
    <w:p w14:paraId="1F4ECE03" w14:textId="054C5E45" w:rsidR="005E0570" w:rsidRPr="007F1334" w:rsidRDefault="005E0570" w:rsidP="005E0570">
      <w:pPr>
        <w:pStyle w:val="CONFIDENTIAL"/>
        <w:spacing w:before="0" w:line="276" w:lineRule="auto"/>
        <w:ind w:right="0"/>
        <w:jc w:val="left"/>
        <w:rPr>
          <w:rFonts w:asciiTheme="minorHAnsi" w:hAnsiTheme="minorHAnsi" w:cstheme="minorHAnsi"/>
          <w:i w:val="0"/>
          <w:sz w:val="20"/>
          <w:lang w:val="en-US"/>
        </w:rPr>
      </w:pPr>
      <w:r w:rsidRPr="007F1334">
        <w:rPr>
          <w:rFonts w:asciiTheme="minorHAnsi" w:hAnsiTheme="minorHAnsi" w:cstheme="minorHAnsi"/>
          <w:i w:val="0"/>
          <w:sz w:val="20"/>
          <w:lang w:val="en-US"/>
        </w:rPr>
        <w:t>Юнусабадский филиал</w:t>
      </w:r>
      <w:r w:rsidR="003A63AE">
        <w:rPr>
          <w:rFonts w:asciiTheme="minorHAnsi" w:hAnsiTheme="minorHAnsi" w:cstheme="minorHAnsi"/>
          <w:i w:val="0"/>
          <w:sz w:val="20"/>
          <w:lang w:val="en-US"/>
        </w:rPr>
      </w:r>
      <w:r w:rsidRPr="007F1334">
        <w:rPr>
          <w:rFonts w:asciiTheme="minorHAnsi" w:hAnsiTheme="minorHAnsi" w:cstheme="minorHAnsi"/>
          <w:i w:val="0"/>
          <w:sz w:val="20"/>
          <w:lang w:val="en-US"/>
        </w:rPr>
      </w:r>
    </w:p>
    <w:p w14:paraId="2D420AF4" w14:textId="592740EC" w:rsidR="00D45F8D" w:rsidRPr="007F1334" w:rsidRDefault="003A63AE" w:rsidP="00D45F8D">
      <w:pPr>
        <w:pStyle w:val="CONFIDENTIAL"/>
        <w:spacing w:before="0" w:line="276" w:lineRule="auto"/>
        <w:ind w:right="0"/>
        <w:jc w:val="left"/>
        <w:rPr>
          <w:rFonts w:asciiTheme="minorHAnsi" w:hAnsiTheme="minorHAnsi" w:cstheme="minorHAnsi"/>
          <w:b w:val="0"/>
          <w:i w:val="0"/>
          <w:sz w:val="20"/>
          <w:lang w:val="en-US"/>
        </w:rPr>
      </w:pPr>
      <w:r>
        <w:rPr>
          <w:rFonts w:asciiTheme="minorHAnsi" w:hAnsiTheme="minorHAnsi" w:cstheme="minorHAnsi"/>
          <w:i w:val="0"/>
          <w:sz w:val="20"/>
        </w:rPr>
        <w:t>—</w:t>
      </w:r>
      <w:r w:rsidR="00D45F8D" w:rsidRPr="007F1334">
        <w:rPr>
          <w:rFonts w:asciiTheme="minorHAnsi" w:hAnsiTheme="minorHAnsi" w:cstheme="minorHAnsi"/>
          <w:b w:val="0"/>
          <w:i w:val="0"/>
          <w:sz w:val="20"/>
          <w:lang w:val="en-US"/>
        </w:rPr>
      </w:r>
    </w:p>
    <w:p w14:paraId="59AAFF84" w14:textId="60157ABA" w:rsidR="005E0570" w:rsidRPr="007F1334" w:rsidRDefault="005E0570" w:rsidP="005E0570">
      <w:pPr>
        <w:pStyle w:val="CONFIDENTIAL"/>
        <w:spacing w:before="0" w:line="276" w:lineRule="auto"/>
        <w:ind w:right="0"/>
        <w:jc w:val="left"/>
        <w:rPr>
          <w:rFonts w:asciiTheme="minorHAnsi" w:hAnsiTheme="minorHAnsi" w:cstheme="minorHAnsi"/>
          <w:b w:val="0"/>
          <w:i w:val="0"/>
          <w:sz w:val="20"/>
          <w:lang w:val="en-US"/>
        </w:rPr>
      </w:pPr>
      <w:r w:rsidRPr="007F1334">
        <w:rPr>
          <w:rFonts w:asciiTheme="minorHAnsi" w:hAnsiTheme="minorHAnsi" w:cstheme="minorHAnsi"/>
          <w:b w:val="0"/>
          <w:i w:val="0"/>
          <w:sz w:val="20"/>
          <w:lang w:val="en-US"/>
        </w:rPr>
        <w:t>Approved for submission to the комитет по кредитным лимитам:</w:t>
      </w:r>
    </w:p>
    <w:p w14:paraId="101952BB" w14:textId="77777777" w:rsidR="005E0570" w:rsidRPr="007F1334" w:rsidRDefault="005E0570" w:rsidP="005E0570">
      <w:pPr>
        <w:pStyle w:val="CONFIDENTIAL"/>
        <w:spacing w:before="0" w:line="276" w:lineRule="auto"/>
        <w:ind w:right="0"/>
        <w:jc w:val="left"/>
        <w:rPr>
          <w:rFonts w:asciiTheme="minorHAnsi" w:hAnsiTheme="minorHAnsi" w:cstheme="minorHAnsi"/>
          <w:b w:val="0"/>
          <w:i w:val="0"/>
          <w:sz w:val="20"/>
          <w:lang w:val="en-US"/>
        </w:rPr>
      </w:pPr>
    </w:p>
    <w:p w14:paraId="3687995D" w14:textId="331208DD" w:rsidR="005E0570" w:rsidRPr="007F1334" w:rsidRDefault="003A63AE" w:rsidP="005E0570">
      <w:pPr>
        <w:pStyle w:val="CONFIDENTIAL"/>
        <w:spacing w:before="0" w:line="276" w:lineRule="auto"/>
        <w:ind w:right="0"/>
        <w:jc w:val="left"/>
        <w:rPr>
          <w:rFonts w:asciiTheme="minorHAnsi" w:hAnsiTheme="minorHAnsi" w:cstheme="minorHAnsi"/>
          <w:b w:val="0"/>
          <w:i w:val="0"/>
          <w:sz w:val="20"/>
          <w:lang w:val="en-US"/>
        </w:rPr>
      </w:pPr>
      <w:r w:rsidRPr="003A63AE">
        <w:rPr>
          <w:rFonts w:asciiTheme="minorHAnsi" w:hAnsiTheme="minorHAnsi" w:cstheme="minorHAnsi"/>
          <w:b w:val="0"/>
          <w:i w:val="0"/>
          <w:sz w:val="20"/>
          <w:lang w:val="en-US"/>
        </w:rPr>
        <w:t>Бадалов Дильшод Хикматуллаевич</w:t>
      </w:r>
    </w:p>
    <w:p w14:paraId="0B135EED" w14:textId="55EAD136" w:rsidR="005E0570" w:rsidRPr="007F1334" w:rsidRDefault="003A63AE" w:rsidP="005E0570">
      <w:pPr>
        <w:pStyle w:val="CONFIDENTIAL"/>
        <w:spacing w:before="0" w:line="276" w:lineRule="auto"/>
        <w:ind w:right="0"/>
        <w:jc w:val="left"/>
        <w:rPr>
          <w:rFonts w:asciiTheme="minorHAnsi" w:hAnsiTheme="minorHAnsi" w:cstheme="minorHAnsi"/>
          <w:sz w:val="20"/>
          <w:lang w:val="en-US"/>
        </w:rPr>
      </w:pPr>
      <w:r>
        <w:rPr>
          <w:rFonts w:asciiTheme="minorHAnsi" w:hAnsiTheme="minorHAnsi" w:cstheme="minorHAnsi"/>
          <w:b w:val="0"/>
          <w:i w:val="0"/>
          <w:sz w:val="20"/>
          <w:lang w:val="en-US"/>
        </w:rPr>
        <w:t>Директор</w:t>
      </w:r>
      <w:r w:rsidR="005E0570" w:rsidRPr="007F1334">
        <w:rPr>
          <w:rFonts w:asciiTheme="minorHAnsi" w:hAnsiTheme="minorHAnsi" w:cstheme="minorHAnsi"/>
          <w:sz w:val="20"/>
          <w:lang w:val="en-US"/>
        </w:rPr>
      </w:r>
    </w:p>
    <w:p w14:paraId="475FA010" w14:textId="77777777" w:rsidR="005E0570" w:rsidRPr="00E96C69" w:rsidRDefault="005E0570" w:rsidP="005E0570">
      <w:pPr>
        <w:pStyle w:val="CONFIDENTIAL"/>
        <w:spacing w:before="0" w:line="276" w:lineRule="auto"/>
        <w:ind w:right="0"/>
        <w:jc w:val="left"/>
        <w:rPr>
          <w:rFonts w:asciiTheme="minorHAnsi" w:hAnsiTheme="minorHAnsi" w:cstheme="minorHAnsi"/>
          <w:sz w:val="22"/>
          <w:szCs w:val="22"/>
          <w:lang w:val="en-US"/>
        </w:rPr>
      </w:pPr>
    </w:p>
    <w:p w14:paraId="3A8C558A" w14:textId="77777777" w:rsidR="005E0570" w:rsidRDefault="005E0570">
      <w:r>
        <w:rPr>
          <w:rFonts w:cstheme="minorHAnsi"/>
          <w:i/>
          <w:noProof/>
          <w:lang w:val="sr-Latn-ME" w:eastAsia="sr-Latn-ME"/>
        </w:rPr>
        <mc:AlternateContent>
          <mc:Choice Requires="wps">
            <w:drawing>
              <wp:anchor distT="0" distB="0" distL="114300" distR="114300" simplePos="0" relativeHeight="251659264" behindDoc="0" locked="0" layoutInCell="1" allowOverlap="1" wp14:anchorId="08C9E51A" wp14:editId="12B6274D">
                <wp:simplePos x="0" y="0"/>
                <wp:positionH relativeFrom="column">
                  <wp:posOffset>-49005</wp:posOffset>
                </wp:positionH>
                <wp:positionV relativeFrom="paragraph">
                  <wp:posOffset>95830</wp:posOffset>
                </wp:positionV>
                <wp:extent cx="6252845" cy="817245"/>
                <wp:effectExtent l="0" t="0" r="1460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817245"/>
                        </a:xfrm>
                        <a:prstGeom prst="rect">
                          <a:avLst/>
                        </a:prstGeom>
                        <a:solidFill>
                          <a:srgbClr val="92D050"/>
                        </a:solidFill>
                        <a:ln w="9525">
                          <a:solidFill>
                            <a:srgbClr val="92D050"/>
                          </a:solidFill>
                          <a:miter lim="800000"/>
                          <a:headEnd/>
                          <a:tailEnd/>
                        </a:ln>
                      </wps:spPr>
                      <wps:txbx>
                        <w:txbxContent>
                          <w:p w14:paraId="483D8456" w14:textId="26C158C1" w:rsidR="006A6901" w:rsidRDefault="006A6901" w:rsidP="005E0570">
                            <w:pPr>
                              <w:pStyle w:val="CONFIDENTIAL"/>
                              <w:spacing w:before="0" w:line="276" w:lineRule="auto"/>
                              <w:ind w:right="0"/>
                              <w:jc w:val="center"/>
                              <w:rPr>
                                <w:rFonts w:ascii="Calibri" w:hAnsi="Calibri"/>
                                <w:i w:val="0"/>
                                <w:iCs/>
                                <w:szCs w:val="28"/>
                                <w:lang w:val="sr-Latn-RS"/>
                              </w:rPr>
                            </w:pPr>
                            <w:r>
                              <w:rPr>
                                <w:rFonts w:ascii="Calibri" w:hAnsi="Calibri"/>
                                <w:i w:val="0"/>
                                <w:iCs/>
                                <w:szCs w:val="28"/>
                                <w:lang w:val="sr-Latn-RS"/>
                              </w:rPr>
                              <w:t xml:space="preserve">Risk </w:t>
                            </w:r>
                            <w:r w:rsidR="003F5EC9">
                              <w:rPr>
                                <w:rFonts w:ascii="Calibri" w:hAnsi="Calibri"/>
                                <w:i w:val="0"/>
                                <w:iCs/>
                                <w:szCs w:val="28"/>
                                <w:lang w:val="sr-Latn-RS"/>
                              </w:rPr>
                              <w:t xml:space="preserve">Assessment </w:t>
                            </w:r>
                            <w:r>
                              <w:rPr>
                                <w:rFonts w:ascii="Calibri" w:hAnsi="Calibri"/>
                                <w:i w:val="0"/>
                                <w:iCs/>
                                <w:szCs w:val="28"/>
                                <w:lang w:val="sr-Latn-RS"/>
                              </w:rPr>
                              <w:t>Opinion</w:t>
                            </w:r>
                            <w:r w:rsidRPr="00295F17">
                              <w:rPr>
                                <w:rFonts w:ascii="Calibri" w:hAnsi="Calibri"/>
                                <w:i w:val="0"/>
                                <w:iCs/>
                                <w:szCs w:val="28"/>
                                <w:lang w:val="sr-Latn-RS"/>
                              </w:rPr>
                              <w:t xml:space="preserve"> for the </w:t>
                            </w:r>
                            <w:r>
                              <w:rPr>
                                <w:rFonts w:ascii="Calibri" w:hAnsi="Calibri"/>
                                <w:i w:val="0"/>
                                <w:iCs/>
                                <w:szCs w:val="28"/>
                                <w:lang w:val="sr-Latn-RS"/>
                              </w:rPr>
                              <w:t xml:space="preserve">Credit </w:t>
                            </w:r>
                            <w:r w:rsidRPr="00295F17">
                              <w:rPr>
                                <w:rFonts w:ascii="Calibri" w:hAnsi="Calibri"/>
                                <w:i w:val="0"/>
                                <w:iCs/>
                                <w:szCs w:val="28"/>
                                <w:lang w:val="sr-Latn-RS"/>
                              </w:rPr>
                              <w:t>Committee</w:t>
                            </w:r>
                          </w:p>
                          <w:p w14:paraId="7B0ABB6B" w14:textId="77777777" w:rsidR="006A6901" w:rsidRPr="00295F17" w:rsidRDefault="006A6901" w:rsidP="005E0570">
                            <w:pPr>
                              <w:pStyle w:val="CONFIDENTIAL"/>
                              <w:spacing w:before="0" w:line="276" w:lineRule="auto"/>
                              <w:ind w:right="0"/>
                              <w:jc w:val="center"/>
                              <w:rPr>
                                <w:rFonts w:ascii="Calibri" w:hAnsi="Calibri"/>
                                <w:i w:val="0"/>
                                <w:szCs w:val="28"/>
                                <w:lang w:val="hu-HU"/>
                              </w:rPr>
                            </w:pPr>
                          </w:p>
                          <w:p w14:paraId="65C4F274" w14:textId="586427B3" w:rsidR="006A6901" w:rsidRPr="006E24D8" w:rsidRDefault="006A6901" w:rsidP="00790DFE">
                            <w:pPr>
                              <w:tabs>
                                <w:tab w:val="right" w:pos="9360"/>
                              </w:tabs>
                              <w:spacing w:after="0"/>
                              <w:jc w:val="center"/>
                              <w:rPr>
                                <w:rFonts w:cstheme="minorHAnsi"/>
                                <w:b/>
                                <w:i/>
                                <w:sz w:val="24"/>
                                <w:szCs w:val="24"/>
                              </w:rPr>
                            </w:pPr>
                            <w:r w:rsidRPr="006E24D8">
                              <w:rPr>
                                <w:rFonts w:cstheme="minorHAnsi"/>
                                <w:b/>
                                <w:i/>
                                <w:sz w:val="24"/>
                                <w:szCs w:val="24"/>
                              </w:rPr>
                              <w:t>(Name of the company</w:t>
                            </w:r>
                            <w:r w:rsidR="00F96C26">
                              <w:rPr>
                                <w:rFonts w:cstheme="minorHAnsi"/>
                                <w:b/>
                                <w:i/>
                                <w:sz w:val="24"/>
                                <w:szCs w:val="24"/>
                              </w:rPr>
                              <w:t>/ Client group</w:t>
                            </w:r>
                            <w:r w:rsidRPr="006E24D8">
                              <w:rPr>
                                <w:rFonts w:cstheme="minorHAnsi"/>
                                <w:b/>
                                <w:i/>
                                <w:sz w:val="24"/>
                                <w:szCs w:val="24"/>
                              </w:rPr>
                              <w:t>)</w:t>
                            </w:r>
                          </w:p>
                          <w:p w14:paraId="4F962C46" w14:textId="77777777" w:rsidR="006A6901" w:rsidRPr="006E24D8" w:rsidRDefault="006A6901" w:rsidP="00790DFE">
                            <w:pPr>
                              <w:pStyle w:val="Subtitle"/>
                              <w:ind w:left="0"/>
                              <w:rPr>
                                <w:rFonts w:asciiTheme="minorHAnsi" w:hAnsiTheme="minorHAnsi" w:cstheme="minorHAnsi"/>
                                <w:i/>
                                <w:sz w:val="24"/>
                                <w:szCs w:val="24"/>
                              </w:rPr>
                            </w:pPr>
                            <w:r w:rsidRPr="006E24D8">
                              <w:rPr>
                                <w:rFonts w:asciiTheme="minorHAnsi" w:hAnsiTheme="minorHAnsi" w:cstheme="minorHAnsi"/>
                                <w:i/>
                                <w:sz w:val="24"/>
                                <w:szCs w:val="24"/>
                                <w:lang w:val="sr-Latn-CS"/>
                              </w:rPr>
                              <w:t>(precise subject of the proposal)</w:t>
                            </w:r>
                          </w:p>
                          <w:p w14:paraId="4F2D54FE" w14:textId="77777777" w:rsidR="006A6901" w:rsidRPr="00295F17" w:rsidRDefault="006A6901" w:rsidP="00E439EC">
                            <w:pPr>
                              <w:pStyle w:val="Subtitle"/>
                              <w:ind w:left="0"/>
                              <w:rPr>
                                <w:rFonts w:asciiTheme="minorHAnsi" w:hAnsiTheme="minorHAnsi" w:cstheme="minorHAnsi"/>
                                <w:b w:val="0"/>
                                <w:i/>
                                <w:sz w:val="28"/>
                                <w:szCs w:val="28"/>
                                <w:lang w:val="en-G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C9E51A" id="_x0000_t202" coordsize="21600,21600" o:spt="202" path="m,l,21600r21600,l21600,xe">
                <v:stroke joinstyle="miter"/>
                <v:path gradientshapeok="t" o:connecttype="rect"/>
              </v:shapetype>
              <v:shape id="Text Box 3" o:spid="_x0000_s1026" type="#_x0000_t202" style="position:absolute;margin-left:-3.85pt;margin-top:7.55pt;width:492.35pt;height:64.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" fillcolor="#92d050" strokecolor="#92d050">
                <v:textbox style="mso-fit-shape-to-text:t">
                  <w:txbxContent>
                    <w:p w14:paraId="483D8456" w14:textId="26C158C1" w:rsidR="006A6901" w:rsidRDefault="006A6901" w:rsidP="005E0570">
                      <w:pPr>
                        <w:pStyle w:val="CONFIDENTIAL"/>
                        <w:spacing w:before="0" w:line="276" w:lineRule="auto"/>
                        <w:ind w:right="0"/>
                        <w:jc w:val="center"/>
                        <w:rPr>
                          <w:rFonts w:ascii="Calibri" w:hAnsi="Calibri"/>
                          <w:i w:val="0"/>
                          <w:iCs/>
                          <w:szCs w:val="28"/>
                          <w:lang w:val="sr-Latn-RS"/>
                        </w:rPr>
                      </w:pPr>
                      <w:r>
                        <w:rPr>
                          <w:rFonts w:ascii="Calibri" w:hAnsi="Calibri"/>
                          <w:i w:val="0"/>
                          <w:iCs/>
                          <w:szCs w:val="28"/>
                          <w:lang w:val="sr-Latn-RS"/>
                        </w:rPr>
                        <w:t xml:space="preserve">Risk </w:t>
                      </w:r>
                      <w:r w:rsidR="003F5EC9">
                        <w:rPr>
                          <w:rFonts w:ascii="Calibri" w:hAnsi="Calibri"/>
                          <w:i w:val="0"/>
                          <w:iCs/>
                          <w:szCs w:val="28"/>
                          <w:lang w:val="sr-Latn-RS"/>
                        </w:rPr>
                        <w:t xml:space="preserve">Assessment </w:t>
                      </w:r>
                      <w:r>
                        <w:rPr>
                          <w:rFonts w:ascii="Calibri" w:hAnsi="Calibri"/>
                          <w:i w:val="0"/>
                          <w:iCs/>
                          <w:szCs w:val="28"/>
                          <w:lang w:val="sr-Latn-RS"/>
                        </w:rPr>
                        <w:t>Opinion</w:t>
                      </w:r>
                      <w:r w:rsidRPr="00295F17">
                        <w:rPr>
                          <w:rFonts w:ascii="Calibri" w:hAnsi="Calibri"/>
                          <w:i w:val="0"/>
                          <w:iCs/>
                          <w:szCs w:val="28"/>
                          <w:lang w:val="sr-Latn-RS"/>
                        </w:rPr>
                        <w:t xml:space="preserve"> for the </w:t>
                      </w:r>
                      <w:r>
                        <w:rPr>
                          <w:rFonts w:ascii="Calibri" w:hAnsi="Calibri"/>
                          <w:i w:val="0"/>
                          <w:iCs/>
                          <w:szCs w:val="28"/>
                          <w:lang w:val="sr-Latn-RS"/>
                        </w:rPr>
                        <w:t xml:space="preserve">Credit </w:t>
                      </w:r>
                      <w:r w:rsidRPr="00295F17">
                        <w:rPr>
                          <w:rFonts w:ascii="Calibri" w:hAnsi="Calibri"/>
                          <w:i w:val="0"/>
                          <w:iCs/>
                          <w:szCs w:val="28"/>
                          <w:lang w:val="sr-Latn-RS"/>
                        </w:rPr>
                        <w:t>Committee</w:t>
                      </w:r>
                    </w:p>
                    <w:p w14:paraId="7B0ABB6B" w14:textId="77777777" w:rsidR="006A6901" w:rsidRPr="00295F17" w:rsidRDefault="006A6901" w:rsidP="005E0570">
                      <w:pPr>
                        <w:pStyle w:val="CONFIDENTIAL"/>
                        <w:spacing w:before="0" w:line="276" w:lineRule="auto"/>
                        <w:ind w:right="0"/>
                        <w:jc w:val="center"/>
                        <w:rPr>
                          <w:rFonts w:ascii="Calibri" w:hAnsi="Calibri"/>
                          <w:i w:val="0"/>
                          <w:szCs w:val="28"/>
                          <w:lang w:val="hu-HU"/>
                        </w:rPr>
                      </w:pPr>
                    </w:p>
                    <w:p w14:paraId="65C4F274" w14:textId="586427B3" w:rsidR="006A6901" w:rsidRPr="006E24D8" w:rsidRDefault="006A6901" w:rsidP="00790DFE">
                      <w:pPr>
                        <w:tabs>
                          <w:tab w:val="right" w:pos="9360"/>
                        </w:tabs>
                        <w:spacing w:after="0"/>
                        <w:jc w:val="center"/>
                        <w:rPr>
                          <w:rFonts w:cstheme="minorHAnsi"/>
                          <w:b/>
                          <w:i/>
                          <w:sz w:val="24"/>
                          <w:szCs w:val="24"/>
                        </w:rPr>
                      </w:pPr>
                      <w:r w:rsidRPr="006E24D8">
                        <w:rPr>
                          <w:rFonts w:cstheme="minorHAnsi"/>
                          <w:b/>
                          <w:i/>
                          <w:sz w:val="24"/>
                          <w:szCs w:val="24"/>
                        </w:rPr>
                        <w:t>(Name of the company</w:t>
                      </w:r>
                      <w:r w:rsidR="00F96C26">
                        <w:rPr>
                          <w:rFonts w:cstheme="minorHAnsi"/>
                          <w:b/>
                          <w:i/>
                          <w:sz w:val="24"/>
                          <w:szCs w:val="24"/>
                        </w:rPr>
                        <w:t>/ Client group</w:t>
                      </w:r>
                      <w:r w:rsidRPr="006E24D8">
                        <w:rPr>
                          <w:rFonts w:cstheme="minorHAnsi"/>
                          <w:b/>
                          <w:i/>
                          <w:sz w:val="24"/>
                          <w:szCs w:val="24"/>
                        </w:rPr>
                        <w:t>)</w:t>
                      </w:r>
                    </w:p>
                    <w:p w14:paraId="4F962C46" w14:textId="77777777" w:rsidR="006A6901" w:rsidRPr="006E24D8" w:rsidRDefault="006A6901" w:rsidP="00790DFE">
                      <w:pPr>
                        <w:pStyle w:val="Subtitle"/>
                        <w:ind w:left="0"/>
                        <w:rPr>
                          <w:rFonts w:asciiTheme="minorHAnsi" w:hAnsiTheme="minorHAnsi" w:cstheme="minorHAnsi"/>
                          <w:i/>
                          <w:sz w:val="24"/>
                          <w:szCs w:val="24"/>
                        </w:rPr>
                      </w:pPr>
                      <w:r w:rsidRPr="006E24D8">
                        <w:rPr>
                          <w:rFonts w:asciiTheme="minorHAnsi" w:hAnsiTheme="minorHAnsi" w:cstheme="minorHAnsi"/>
                          <w:i/>
                          <w:sz w:val="24"/>
                          <w:szCs w:val="24"/>
                          <w:lang w:val="sr-Latn-CS"/>
                        </w:rPr>
                        <w:t>(precise subject of the proposal)</w:t>
                      </w:r>
                    </w:p>
                    <w:p w14:paraId="4F2D54FE" w14:textId="77777777" w:rsidR="006A6901" w:rsidRPr="00295F17" w:rsidRDefault="006A6901" w:rsidP="00E439EC">
                      <w:pPr>
                        <w:pStyle w:val="Subtitle"/>
                        <w:ind w:left="0"/>
                        <w:rPr>
                          <w:rFonts w:asciiTheme="minorHAnsi" w:hAnsiTheme="minorHAnsi" w:cstheme="minorHAnsi"/>
                          <w:b w:val="0"/>
                          <w:i/>
                          <w:sz w:val="28"/>
                          <w:szCs w:val="28"/>
                          <w:lang w:val="en-GB"/>
                        </w:rPr>
                      </w:pPr>
                    </w:p>
                  </w:txbxContent>
                </v:textbox>
              </v:shape>
            </w:pict>
          </mc:Fallback>
        </mc:AlternateContent>
      </w:r>
    </w:p>
    <w:p w14:paraId="34BA5844" w14:textId="77777777" w:rsidR="005E0570" w:rsidRPr="005E0570" w:rsidRDefault="005E0570" w:rsidP="005E0570"/>
    <w:p w14:paraId="6BD8E6F7" w14:textId="77777777" w:rsidR="005E0570" w:rsidRPr="005E0570" w:rsidRDefault="005E0570" w:rsidP="005E0570"/>
    <w:p w14:paraId="7B218FC2" w14:textId="77777777" w:rsidR="005E0570" w:rsidRPr="005E0570" w:rsidRDefault="005E0570" w:rsidP="005E0570"/>
    <w:p w14:paraId="5194F365" w14:textId="77777777" w:rsidR="005E0570" w:rsidRPr="005E0570" w:rsidRDefault="005E0570" w:rsidP="005E0570"/>
    <w:p w14:paraId="5A4A5583" w14:textId="77777777" w:rsidR="005E0570" w:rsidRPr="005E0570" w:rsidRDefault="005E0570" w:rsidP="005E0570"/>
    <w:p w14:paraId="70BF6B0A" w14:textId="77777777" w:rsidR="005E0570" w:rsidRPr="005E0570" w:rsidRDefault="005E0570" w:rsidP="005E0570"/>
    <w:p w14:paraId="7A7A4069" w14:textId="77777777" w:rsidR="005E0570" w:rsidRPr="005E0570" w:rsidRDefault="005E0570" w:rsidP="005E0570"/>
    <w:p w14:paraId="63EDF13B" w14:textId="77777777" w:rsidR="005E0570" w:rsidRPr="00424480" w:rsidRDefault="005E0570" w:rsidP="005E0570">
      <w:pPr>
        <w:pStyle w:val="Cover"/>
        <w:spacing w:line="276" w:lineRule="auto"/>
        <w:rPr>
          <w:rFonts w:asciiTheme="minorHAnsi" w:hAnsiTheme="minorHAnsi" w:cstheme="minorHAnsi"/>
          <w:sz w:val="20"/>
          <w:lang w:val="en-US"/>
        </w:rPr>
      </w:pPr>
    </w:p>
    <w:p w14:paraId="45B290AA" w14:textId="449AD4E9" w:rsidR="00CD45BB" w:rsidRPr="00942B20" w:rsidRDefault="00CD45BB" w:rsidP="00CD45BB">
      <w:pPr>
        <w:pStyle w:val="Cover"/>
        <w:spacing w:line="276" w:lineRule="auto"/>
        <w:rPr>
          <w:rFonts w:asciiTheme="minorHAnsi" w:hAnsiTheme="minorHAnsi" w:cstheme="minorHAnsi"/>
          <w:b w:val="0"/>
          <w:sz w:val="20"/>
          <w:lang w:val="en-US"/>
        </w:rPr>
      </w:pPr>
      <w:r w:rsidRPr="00942B20">
        <w:rPr>
          <w:rFonts w:asciiTheme="minorHAnsi" w:hAnsiTheme="minorHAnsi" w:cstheme="minorHAnsi"/>
          <w:b w:val="0"/>
          <w:sz w:val="20"/>
        </w:rPr>
        <w:t>Approved by — (S.N.P)</w:t>
      </w:r>
      <w:r w:rsidR="004E3F69">
        <w:rPr>
          <w:rFonts w:asciiTheme="minorHAnsi" w:hAnsiTheme="minorHAnsi" w:cstheme="minorHAnsi"/>
          <w:b w:val="0"/>
          <w:sz w:val="20"/>
        </w:rPr>
      </w:r>
      <w:r w:rsidR="00DD6C4F">
        <w:rPr>
          <w:rFonts w:asciiTheme="minorHAnsi" w:hAnsiTheme="minorHAnsi" w:cstheme="minorHAnsi"/>
          <w:b w:val="0"/>
          <w:sz w:val="20"/>
        </w:rPr>
      </w:r>
    </w:p>
    <w:p w14:paraId="1EA0FFB1" w14:textId="6E64B594" w:rsidR="005E0570" w:rsidRPr="00126599" w:rsidRDefault="00CD45BB" w:rsidP="00CD45BB">
      <w:pPr>
        <w:pStyle w:val="Cover"/>
        <w:spacing w:line="276" w:lineRule="auto"/>
        <w:rPr>
          <w:rFonts w:ascii="Calibri" w:hAnsi="Calibri" w:cstheme="minorHAnsi"/>
          <w:b w:val="0"/>
          <w:sz w:val="20"/>
        </w:rPr>
      </w:pPr>
      <w:r w:rsidRPr="00942B20">
        <w:rPr>
          <w:rFonts w:asciiTheme="minorHAnsi" w:hAnsiTheme="minorHAnsi" w:cstheme="minorHAnsi"/>
          <w:b w:val="0"/>
          <w:sz w:val="20"/>
        </w:rPr>
        <w:t>(Head of Комитет по кредитным лимитам)</w:t>
      </w:r>
    </w:p>
    <w:p w14:paraId="217DF4AE" w14:textId="77777777" w:rsidR="007F2B50" w:rsidRDefault="007F2B50" w:rsidP="007F2B50">
      <w:pPr>
        <w:pStyle w:val="Cover"/>
        <w:spacing w:line="276" w:lineRule="auto"/>
        <w:rPr>
          <w:rFonts w:cstheme="minorHAnsi"/>
          <w:sz w:val="20"/>
        </w:rPr>
      </w:pPr>
    </w:p>
    <w:p w14:paraId="11DC5EE5" w14:textId="77777777" w:rsidR="006E24D8" w:rsidRPr="00424480" w:rsidRDefault="006E24D8" w:rsidP="007F2B50">
      <w:pPr>
        <w:pStyle w:val="Cover"/>
        <w:spacing w:line="276" w:lineRule="auto"/>
        <w:rPr>
          <w:rFonts w:cstheme="minorHAnsi"/>
          <w:sz w:val="20"/>
        </w:rPr>
      </w:pPr>
    </w:p>
    <w:p w14:paraId="782086B5" w14:textId="77777777" w:rsidR="005E0570" w:rsidRPr="00424480" w:rsidRDefault="005E0570" w:rsidP="002919E5">
      <w:pPr>
        <w:spacing w:after="0"/>
        <w:rPr>
          <w:rFonts w:cstheme="minorHAnsi"/>
          <w:sz w:val="20"/>
          <w:szCs w:val="20"/>
          <w:u w:val="single"/>
        </w:rPr>
      </w:pPr>
      <w:r w:rsidRPr="00424480">
        <w:rPr>
          <w:rFonts w:cstheme="minorHAnsi"/>
          <w:sz w:val="20"/>
          <w:szCs w:val="20"/>
        </w:rPr>
        <w:t>Prepared by —</w:t>
      </w:r>
      <w:r w:rsidR="007F2B50">
        <w:rPr>
          <w:rFonts w:cstheme="minorHAnsi"/>
          <w:sz w:val="20"/>
          <w:szCs w:val="20"/>
        </w:rPr>
      </w:r>
    </w:p>
    <w:p w14:paraId="12DCC33F" w14:textId="77777777" w:rsidR="005E0570" w:rsidRPr="00424480" w:rsidRDefault="007F2B50" w:rsidP="005E0570">
      <w:pPr>
        <w:rPr>
          <w:rFonts w:cstheme="minorHAnsi"/>
          <w:sz w:val="20"/>
          <w:szCs w:val="20"/>
        </w:rPr>
      </w:pPr>
      <w:r>
        <w:rPr>
          <w:rFonts w:cstheme="minorHAnsi"/>
          <w:sz w:val="20"/>
          <w:szCs w:val="20"/>
        </w:rPr>
        <w:t>(Expert in the Юнусабадский филиал)</w:t>
      </w:r>
      <w:r w:rsidR="005E0570" w:rsidRPr="00424480">
        <w:rPr>
          <w:rFonts w:cstheme="minorHAnsi"/>
          <w:sz w:val="20"/>
          <w:szCs w:val="20"/>
        </w:rPr>
      </w:r>
      <w:r w:rsidR="007F1334">
        <w:rPr>
          <w:rFonts w:cstheme="minorHAnsi"/>
          <w:sz w:val="20"/>
          <w:szCs w:val="20"/>
        </w:rPr>
      </w:r>
      <w:r w:rsidR="00502724">
        <w:rPr>
          <w:rFonts w:cstheme="minorHAnsi"/>
          <w:sz w:val="20"/>
          <w:szCs w:val="20"/>
        </w:rPr>
      </w:r>
      <w:r w:rsidR="005E0570" w:rsidRPr="00424480">
        <w:rPr>
          <w:rFonts w:cstheme="minorHAnsi"/>
          <w:sz w:val="20"/>
          <w:szCs w:val="20"/>
        </w:rPr>
      </w:r>
    </w:p>
    <w:p w14:paraId="3A3AF42C" w14:textId="77777777" w:rsidR="005E0570" w:rsidRPr="00E96C69" w:rsidRDefault="005E0570" w:rsidP="005E0570">
      <w:pPr>
        <w:rPr>
          <w:rFonts w:cstheme="minorHAnsi"/>
        </w:rPr>
      </w:pPr>
    </w:p>
    <w:p w14:paraId="02B5FCE0" w14:textId="77777777" w:rsidR="005E0570" w:rsidRPr="00424480" w:rsidRDefault="005E0570" w:rsidP="00CD45BB">
      <w:pPr>
        <w:spacing w:after="0"/>
        <w:rPr>
          <w:rFonts w:cstheme="minorHAnsi"/>
          <w:sz w:val="20"/>
          <w:szCs w:val="20"/>
        </w:rPr>
      </w:pPr>
    </w:p>
    <w:p w14:paraId="1AB2DC64" w14:textId="70914BA3" w:rsidR="00BA0ADE" w:rsidRDefault="005E0570" w:rsidP="00543421">
      <w:pPr>
        <w:tabs>
          <w:tab w:val="left" w:pos="2127"/>
        </w:tabs>
        <w:rPr>
          <w:rFonts w:cstheme="minorHAnsi"/>
          <w:sz w:val="20"/>
          <w:szCs w:val="20"/>
        </w:rPr>
      </w:pPr>
      <w:r w:rsidRPr="00424480">
        <w:rPr>
          <w:rFonts w:cstheme="minorHAnsi"/>
          <w:sz w:val="20"/>
          <w:szCs w:val="20"/>
        </w:rPr>
        <w:t>Date: 14.04.2026</w:t>
      </w:r>
      <w:sdt>
        <w:sdtPr>
          <w:rPr>
            <w:rFonts w:cstheme="minorHAnsi"/>
            <w:sz w:val="20"/>
            <w:szCs w:val="20"/>
          </w:rPr>
          <w:id w:val="106082962"/>
          <w:lock w:val="sdtLocked"/>
          <w:placeholder>
            <w:docPart w:val="DefaultPlaceholder_-1854013437"/>
          </w:placeholder>
          <w:date>
            <w:dateFormat w:val="dd.MM.yyyy"/>
            <w:lid w:val="ru-RU"/>
            <w:storeMappedDataAs w:val="dateTime"/>
            <w:calendar w:val="gregorian"/>
          </w:date>
        </w:sdtPr>
        <w:sdtContent>
          <w:r w:rsidR="00120FB1">
            <w:rPr>
              <w:rFonts w:cstheme="minorHAnsi"/>
              <w:sz w:val="20"/>
              <w:szCs w:val="20"/>
            </w:rPr>
            <w:t>XX</w:t>
          </w:r>
          <w:r w:rsidR="00FF6FDC">
            <w:rPr>
              <w:rFonts w:cstheme="minorHAnsi"/>
              <w:sz w:val="20"/>
              <w:szCs w:val="20"/>
              <w:lang w:val="ru-RU"/>
            </w:rPr>
            <w:t>.</w:t>
          </w:r>
          <w:r w:rsidR="00120FB1">
            <w:rPr>
              <w:rFonts w:cstheme="minorHAnsi"/>
              <w:sz w:val="20"/>
              <w:szCs w:val="20"/>
            </w:rPr>
            <w:t>XX</w:t>
          </w:r>
          <w:r w:rsidR="00FF6FDC">
            <w:rPr>
              <w:rFonts w:cstheme="minorHAnsi"/>
              <w:sz w:val="20"/>
              <w:szCs w:val="20"/>
              <w:lang w:val="ru-RU"/>
            </w:rPr>
            <w:t>.</w:t>
          </w:r>
          <w:r w:rsidR="00120FB1">
            <w:rPr>
              <w:rFonts w:cstheme="minorHAnsi"/>
              <w:sz w:val="20"/>
              <w:szCs w:val="20"/>
            </w:rPr>
            <w:t>XXXX</w:t>
          </w:r>
        </w:sdtContent>
      </w:sdt>
    </w:p>
    <w:p w14:paraId="06EAC641" w14:textId="77777777" w:rsidR="00BA0ADE" w:rsidRDefault="00BA0ADE">
      <w:pPr>
        <w:rPr>
          <w:rFonts w:cstheme="minorHAnsi"/>
          <w:sz w:val="20"/>
          <w:szCs w:val="20"/>
        </w:rPr>
      </w:pPr>
      <w:r>
        <w:rPr>
          <w:rFonts w:cstheme="minorHAnsi"/>
          <w:sz w:val="20"/>
          <w:szCs w:val="20"/>
        </w:rPr>
        <w:br w:type="page"/>
      </w: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E439EC" w:rsidRPr="00B527E0" w14:paraId="11CB11F0" w14:textId="77777777" w:rsidTr="00E439EC">
        <w:trPr>
          <w:trHeight w:val="361"/>
        </w:trPr>
        <w:tc>
          <w:tcPr>
            <w:tcW w:w="13005" w:type="dxa"/>
            <w:shd w:val="clear" w:color="auto" w:fill="92D050"/>
            <w:vAlign w:val="center"/>
          </w:tcPr>
          <w:p w14:paraId="69DE5761" w14:textId="35E35385" w:rsidR="00E439EC" w:rsidRPr="00044FB7" w:rsidRDefault="00680D55" w:rsidP="00233DCD">
            <w:pPr>
              <w:pStyle w:val="Subtitle"/>
              <w:numPr>
                <w:ilvl w:val="0"/>
                <w:numId w:val="3"/>
              </w:numPr>
              <w:spacing w:line="276" w:lineRule="auto"/>
              <w:ind w:left="0"/>
              <w:jc w:val="left"/>
              <w:rPr>
                <w:rFonts w:asciiTheme="minorHAnsi" w:hAnsiTheme="minorHAnsi" w:cstheme="minorHAnsi"/>
                <w:b w:val="0"/>
                <w:bCs w:val="0"/>
                <w:sz w:val="24"/>
                <w:szCs w:val="24"/>
                <w:lang w:val="en-GB"/>
              </w:rPr>
            </w:pPr>
            <w:r w:rsidRPr="00044FB7">
              <w:rPr>
                <w:rFonts w:asciiTheme="minorHAnsi" w:hAnsiTheme="minorHAnsi" w:cstheme="minorHAnsi"/>
                <w:bCs w:val="0"/>
                <w:sz w:val="24"/>
                <w:szCs w:val="24"/>
                <w:lang w:val="en-GB"/>
              </w:rPr>
              <w:lastRenderedPageBreak/>
              <w:t>S</w:t>
            </w:r>
            <w:r w:rsidR="00233DCD">
              <w:rPr>
                <w:rFonts w:asciiTheme="minorHAnsi" w:hAnsiTheme="minorHAnsi" w:cstheme="minorHAnsi"/>
                <w:bCs w:val="0"/>
                <w:sz w:val="24"/>
                <w:szCs w:val="24"/>
                <w:lang w:val="en-GB"/>
              </w:rPr>
              <w:t xml:space="preserve">UMMARY OF THE CLIENT RELATIONSHIP </w:t>
            </w:r>
          </w:p>
        </w:tc>
      </w:tr>
    </w:tbl>
    <w:p w14:paraId="367BD4AB" w14:textId="653753FC" w:rsidR="00E439EC" w:rsidRPr="007E2435" w:rsidRDefault="00E83CDD" w:rsidP="006E24D8">
      <w:pPr>
        <w:pStyle w:val="Subtitle"/>
        <w:spacing w:line="276" w:lineRule="auto"/>
        <w:ind w:left="-567"/>
        <w:jc w:val="both"/>
        <w:rPr>
          <w:rFonts w:asciiTheme="minorHAnsi" w:hAnsiTheme="minorHAnsi" w:cstheme="minorHAnsi"/>
          <w:b w:val="0"/>
          <w:bCs w:val="0"/>
          <w:i/>
          <w:iCs/>
          <w:sz w:val="20"/>
          <w:szCs w:val="20"/>
          <w:lang w:val="en-GB"/>
        </w:rPr>
      </w:pPr>
      <w:r w:rsidRPr="007E2435">
        <w:rPr>
          <w:rFonts w:asciiTheme="minorHAnsi" w:hAnsiTheme="minorHAnsi" w:cstheme="minorHAnsi"/>
          <w:b w:val="0"/>
          <w:bCs w:val="0"/>
          <w:i/>
          <w:iCs/>
          <w:sz w:val="20"/>
          <w:szCs w:val="20"/>
          <w:lang w:val="en-GB"/>
        </w:rPr>
        <w:t>Brief information on applicant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812"/>
        <w:gridCol w:w="812"/>
        <w:gridCol w:w="812"/>
        <w:gridCol w:w="1300"/>
        <w:gridCol w:w="1300"/>
        <w:gridCol w:w="1300"/>
        <w:gridCol w:w="1300"/>
        <w:gridCol w:w="2601"/>
        <w:gridCol w:w="1956"/>
      </w:tblGrid>
      <w:tr w:rsidR="001F6A3D" w:rsidRPr="008E51FF" w14:paraId="005B6903" w14:textId="77777777" w:rsidTr="0067126E">
        <w:trPr>
          <w:trHeight w:val="220"/>
          <w:jc w:val="center"/>
        </w:trPr>
        <w:tc>
          <w:tcPr>
            <w:tcW w:w="3248" w:type="pct"/>
            <w:gridSpan w:val="4"/>
            <w:shd w:val="clear" w:color="auto" w:fill="92D050"/>
            <w:vAlign w:val="center"/>
          </w:tcPr>
          <w:p>
            <w:pPr>
              <w:rPr>
                <w:sz w:val="16"/>
                <w:szCs w:val="16"/>
              </w:rPr>
            </w:pPr>
            <w:r>
              <w:rPr>
                <w:b/>
                <w:sz w:val="16"/>
                <w:szCs w:val="16"/>
              </w:rPr>
              <w:t xml:space="preserve">Company name</w:t>
            </w:r>
          </w:p>
          <w:p w14:paraId="5F92E75B"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PRODUCTS WATER МЧЖ</w:t>
            </w:r>
          </w:p>
        </w:tc>
        <w:tc>
          <w:tcPr>
            <w:tcW w:w="5200" w:type="pct"/>
            <w:gridSpan w:val="4"/>
            <w:shd w:val="clear" w:color="auto" w:fill="auto"/>
            <w:vAlign w:val="center"/>
          </w:tcPr>
          <w:p>
            <w:pPr>
              <w:rPr>
                <w:sz w:val="16"/>
                <w:szCs w:val="16"/>
              </w:rPr>
            </w:pPr>
            <w:r>
              <w:rPr>
                <w:b/>
                <w:sz w:val="16"/>
                <w:szCs w:val="16"/>
              </w:rPr>
              <w:t xml:space="preserve">Client role / Group</w:t>
            </w:r>
          </w:p>
          <w:p w14:paraId="21C284AC"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Заёмщик</w:t>
              <w:br/>
              <w:t>OTP Группа</w:t>
            </w:r>
          </w:p>
        </w:tc>
        <w:tc>
          <w:tcPr>
            <w:tcW w:w="2601" w:type="pct"/>
            <w:shd w:val="clear" w:color="auto" w:fill="92D050"/>
            <w:vAlign w:val="center"/>
          </w:tcPr>
          <w:p w14:paraId="3D2F40F5" w14:textId="77777777" w:rsidR="00337CBD" w:rsidRPr="008E51FF" w:rsidRDefault="00337CBD" w:rsidP="00D84191">
            <w:pPr>
              <w:spacing w:after="0" w:line="240" w:lineRule="auto"/>
              <w:rPr>
                <w:rFonts w:cstheme="minorHAnsi"/>
                <w:sz w:val="20"/>
                <w:szCs w:val="20"/>
              </w:rPr>
            </w:pPr>
            <w:r w:rsidRPr="008E51FF">
              <w:rPr>
                <w:rFonts w:cstheme="minorHAnsi"/>
                <w:b/>
                <w:sz w:val="20"/>
                <w:szCs w:val="20"/>
              </w:rPr>
              <w:t>Legal establishment date</w:t>
            </w:r>
          </w:p>
        </w:tc>
        <w:tc>
          <w:tcPr>
            <w:tcW w:w="1956" w:type="pct"/>
            <w:shd w:val="clear" w:color="auto" w:fill="auto"/>
            <w:vAlign w:val="center"/>
          </w:tcPr>
          <w:p w14:paraId="58DBB92A"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2021-03-02</w:t>
            </w:r>
          </w:p>
        </w:tc>
      </w:tr>
      <w:tr w:rsidR="0067126E" w:rsidRPr="008E51FF" w14:paraId="5A670768" w14:textId="77777777" w:rsidTr="000A5E7E">
        <w:trPr>
          <w:trHeight w:val="128"/>
          <w:jc w:val="center"/>
        </w:trPr>
        <w:tc>
          <w:tcPr>
            <w:tcW w:w="812" w:type="pct"/>
            <w:shd w:val="clear" w:color="auto" w:fill="92D050"/>
            <w:vAlign w:val="center"/>
          </w:tcPr>
          <w:p>
            <w:pPr>
              <w:rPr>
                <w:sz w:val="16"/>
                <w:szCs w:val="16"/>
              </w:rPr>
            </w:pPr>
            <w:r>
              <w:rPr>
                <w:b/>
                <w:sz w:val="16"/>
                <w:szCs w:val="16"/>
              </w:rPr>
              <w:t xml:space="preserve">OKED</w:t>
            </w:r>
          </w:p>
          <w:p w14:paraId="1B4DE889" w14:textId="5CE39AF2" w:rsidR="001F6A3D" w:rsidRPr="004A179F" w:rsidRDefault="00810152" w:rsidP="00973EE1">
            <w:pPr>
              <w:spacing w:after="0" w:line="240" w:lineRule="auto"/>
              <w:ind w:right="-81"/>
              <w:jc w:val="both"/>
              <w:rPr>
                <w:rFonts w:cstheme="minorHAnsi"/>
                <w:b/>
                <w:sz w:val="18"/>
                <w:szCs w:val="18"/>
              </w:rPr>
            </w:pPr>
            <w:r w:rsidRPr="004A179F">
              <w:rPr>
                <w:rFonts w:cstheme="minorHAnsi"/>
                <w:sz w:val="18"/>
                <w:szCs w:val="18"/>
              </w:rPr>
              <w:t>46490</w:t>
            </w:r>
          </w:p>
        </w:tc>
        <w:tc>
          <w:tcPr>
            <w:tcW w:w="2436" w:type="pct"/>
            <w:shd w:val="clear" w:color="auto" w:fill="92D050"/>
            <w:vAlign w:val="center"/>
            <w:gridSpan w:val="3"/>
          </w:tcPr>
          <w:p>
            <w:pPr>
              <w:rPr>
                <w:sz w:val="16"/>
                <w:szCs w:val="16"/>
              </w:rPr>
            </w:pPr>
            <w:r>
              <w:rPr>
                <w:b/>
                <w:sz w:val="16"/>
                <w:szCs w:val="16"/>
              </w:rPr>
              <w:t xml:space="preserve">Industry name</w:t>
            </w:r>
          </w:p>
          <w:p w14:paraId="16DE7D8E" w14:textId="22BC18AC" w:rsidR="001F6A3D" w:rsidRPr="004A179F" w:rsidRDefault="00810152" w:rsidP="00973EE1">
            <w:pPr>
              <w:spacing w:after="0" w:line="240" w:lineRule="auto"/>
              <w:ind w:right="-81"/>
              <w:jc w:val="both"/>
              <w:rPr>
                <w:rFonts w:cstheme="minorHAnsi"/>
                <w:b/>
                <w:sz w:val="18"/>
                <w:szCs w:val="18"/>
              </w:rPr>
            </w:pPr>
            <w:r w:rsidRPr="004A179F">
              <w:rPr>
                <w:rFonts w:cstheme="minorHAnsi"/>
                <w:sz w:val="18"/>
                <w:szCs w:val="18"/>
              </w:rPr>
              <w:t>Оптовая торговля непродовольственными товарами народного потребления</w:t>
            </w:r>
          </w:p>
        </w:tc>
        <w:tc>
          <w:tcPr>
            <w:tcW w:w="2600" w:type="pct"/>
            <w:gridSpan w:val="2"/>
            <w:shd w:val="clear" w:color="auto" w:fill="92D050"/>
            <w:vAlign w:val="center"/>
          </w:tcPr>
          <w:p>
            <w:pPr>
              <w:rPr>
                <w:sz w:val="16"/>
                <w:szCs w:val="16"/>
              </w:rPr>
            </w:pPr>
            <w:r>
              <w:rPr>
                <w:b/>
                <w:sz w:val="16"/>
                <w:szCs w:val="16"/>
              </w:rPr>
              <w:t xml:space="preserve">OLLP color</w:t>
            </w:r>
          </w:p>
          <w:p w14:paraId="4DD84904" w14:textId="7D7A0589" w:rsidR="001F6A3D" w:rsidRPr="004A179F" w:rsidRDefault="001F6A3D" w:rsidP="00973EE1">
            <w:pPr>
              <w:spacing w:after="0" w:line="240" w:lineRule="auto"/>
              <w:ind w:right="-81"/>
              <w:jc w:val="both"/>
              <w:rPr>
                <w:rFonts w:cstheme="minorHAnsi"/>
                <w:b/>
                <w:sz w:val="18"/>
                <w:szCs w:val="18"/>
              </w:rPr>
            </w:pPr>
            <w:r w:rsidRPr="004A179F">
              <w:rPr>
                <w:rFonts w:cstheme="minorHAnsi"/>
                <w:sz w:val="18"/>
                <w:szCs w:val="18"/>
              </w:rPr>
              <w:t>оранжевый</w:t>
            </w:r>
          </w:p>
        </w:tc>
        <w:tc>
          <w:tcPr>
            <w:tcW w:w="2600" w:type="pct"/>
            <w:shd w:val="clear" w:color="auto" w:fill="92D050"/>
            <w:vAlign w:val="center"/>
            <w:gridSpan w:val="2"/>
          </w:tcPr>
          <w:p>
            <w:r>
              <w:rPr>
                <w:b/>
              </w:rPr>
              <w:t>Charter capital</w:t>
            </w:r>
          </w:p>
        </w:tc>
        <w:tc>
          <w:tcPr>
            <w:tcW w:w="4557" w:type="pct"/>
            <w:shd w:val="clear" w:color="auto" w:fill="auto"/>
            <w:vAlign w:val="center"/>
            <w:gridSpan w:val="2"/>
          </w:tcPr>
          <w:p w14:paraId="3546ECD3" w14:textId="77777777" w:rsidR="001F6A3D" w:rsidRPr="008E51FF" w:rsidRDefault="001F6A3D" w:rsidP="00D84191">
            <w:pPr>
              <w:spacing w:after="0" w:line="240" w:lineRule="auto"/>
              <w:rPr>
                <w:rFonts w:cstheme="minorHAnsi"/>
                <w:sz w:val="20"/>
                <w:szCs w:val="20"/>
              </w:rPr>
            </w:pPr>
            <w:r w:rsidRPr="008E51FF">
              <w:rPr>
                <w:rFonts w:cstheme="minorHAnsi"/>
                <w:b/>
                <w:sz w:val="20"/>
                <w:szCs w:val="20"/>
              </w:rPr>
              <w:t>300000000</w:t>
            </w:r>
          </w:p>
        </w:tc>
      </w:tr>
      <w:tr w:rsidR="0067126E" w:rsidRPr="008E51FF" w14:paraId="637E2A4F" w14:textId="77777777" w:rsidTr="000A5E7E">
        <w:trPr>
          <w:trHeight w:val="128"/>
          <w:jc w:val="center"/>
        </w:trPr>
        <w:tc>
          <w:tcPr>
            <w:tcW w:w="1624" w:type="pct"/>
            <w:shd w:val="clear" w:color="auto" w:fill="92D050"/>
            <w:vAlign w:val="center"/>
            <w:gridSpan w:val="2"/>
          </w:tcPr>
          <w:p>
            <w:pPr>
              <w:rPr>
                <w:sz w:val="16"/>
                <w:szCs w:val="16"/>
              </w:rPr>
            </w:pPr>
            <w:r>
              <w:rPr>
                <w:b/>
                <w:sz w:val="16"/>
                <w:szCs w:val="16"/>
              </w:rPr>
              <w:t xml:space="preserve">Stage</w:t>
            </w:r>
          </w:p>
          <w:p w14:paraId="5C7733FD" w14:textId="57A90B42" w:rsidR="001F6A3D" w:rsidRPr="004A179F" w:rsidRDefault="001F6A3D" w:rsidP="00D84191">
            <w:pPr>
              <w:spacing w:after="0" w:line="240" w:lineRule="auto"/>
              <w:rPr>
                <w:rFonts w:cstheme="minorHAnsi"/>
                <w:b/>
                <w:sz w:val="18"/>
                <w:szCs w:val="18"/>
              </w:rPr>
            </w:pPr>
            <w:r w:rsidRPr="004A179F">
              <w:rPr>
                <w:rFonts w:cstheme="minorHAnsi"/>
                <w:sz w:val="18"/>
                <w:szCs w:val="18"/>
              </w:rPr>
              <w:t>Этап 1</w:t>
            </w:r>
          </w:p>
        </w:tc>
        <w:tc>
          <w:tcPr>
            <w:tcW w:w="1624" w:type="pct"/>
            <w:shd w:val="clear" w:color="auto" w:fill="92D050"/>
            <w:vAlign w:val="center"/>
            <w:gridSpan w:val="2"/>
          </w:tcPr>
          <w:p>
            <w:pPr>
              <w:rPr>
                <w:sz w:val="16"/>
                <w:szCs w:val="16"/>
              </w:rPr>
            </w:pPr>
            <w:r>
              <w:rPr>
                <w:b/>
                <w:sz w:val="16"/>
                <w:szCs w:val="16"/>
              </w:rPr>
              <w:t xml:space="preserve">CRS</w:t>
            </w:r>
          </w:p>
          <w:p w14:paraId="641258D5" w14:textId="4978BAD1" w:rsidR="001F6A3D" w:rsidRPr="004A179F" w:rsidRDefault="0067126E" w:rsidP="00D84191">
            <w:pPr>
              <w:spacing w:after="0" w:line="240" w:lineRule="auto"/>
              <w:rPr>
                <w:rFonts w:cstheme="minorHAnsi"/>
                <w:b/>
                <w:sz w:val="18"/>
                <w:szCs w:val="18"/>
              </w:rPr>
            </w:pPr>
            <w:r w:rsidRPr="004A179F">
              <w:rPr>
                <w:rFonts w:cstheme="minorHAnsi"/>
                <w:sz w:val="18"/>
                <w:szCs w:val="18"/>
              </w:rPr>
              <w:t>B - 61 Средний</w:t>
            </w:r>
          </w:p>
        </w:tc>
        <w:tc>
          <w:tcPr>
            <w:tcW w:w="812" w:type="pct"/>
            <w:shd w:val="clear" w:color="auto" w:fill="92D050"/>
            <w:vAlign w:val="center"/>
          </w:tcPr>
          <w:p>
            <w:pPr>
              <w:rPr>
                <w:sz w:val="16"/>
                <w:szCs w:val="16"/>
              </w:rPr>
            </w:pPr>
            <w:r>
              <w:rPr>
                <w:b/>
                <w:sz w:val="16"/>
                <w:szCs w:val="16"/>
              </w:rPr>
              <w:t xml:space="preserve">Forbearance</w:t>
            </w:r>
          </w:p>
          <w:p w14:paraId="2EE6E11C" w14:textId="5F1443B4" w:rsidR="001F6A3D" w:rsidRPr="004A179F" w:rsidRDefault="001F6A3D" w:rsidP="0067126E">
            <w:pPr>
              <w:tabs>
                <w:tab w:val="left" w:pos="436"/>
              </w:tabs>
              <w:spacing w:after="0" w:line="240" w:lineRule="auto"/>
              <w:ind w:right="-105"/>
              <w:rPr>
                <w:rFonts w:cstheme="minorHAnsi"/>
                <w:b/>
                <w:sz w:val="18"/>
                <w:szCs w:val="18"/>
              </w:rPr>
            </w:pPr>
            <w:r w:rsidRPr="004A179F">
              <w:rPr>
                <w:rFonts w:cstheme="minorHAnsi"/>
                <w:sz w:val="18"/>
                <w:szCs w:val="18"/>
              </w:rPr>
              <w:t>нет</w:t>
            </w:r>
          </w:p>
        </w:tc>
        <w:tc>
          <w:tcPr>
            <w:tcW w:w="812" w:type="pct"/>
            <w:shd w:val="clear" w:color="auto" w:fill="92D050"/>
            <w:vAlign w:val="center"/>
          </w:tcPr>
          <w:p>
            <w:pPr>
              <w:rPr>
                <w:sz w:val="16"/>
                <w:szCs w:val="16"/>
              </w:rPr>
            </w:pPr>
            <w:r>
              <w:rPr>
                <w:b/>
                <w:sz w:val="16"/>
                <w:szCs w:val="16"/>
              </w:rPr>
              <w:t xml:space="preserve">Local</w:t>
            </w:r>
          </w:p>
          <w:p w14:paraId="3D941465" w14:textId="4C6EF490" w:rsidR="001F6A3D" w:rsidRPr="004A179F" w:rsidRDefault="001F6A3D" w:rsidP="00D84191">
            <w:pPr>
              <w:spacing w:after="0" w:line="240" w:lineRule="auto"/>
              <w:rPr>
                <w:rFonts w:cstheme="minorHAnsi"/>
                <w:b/>
                <w:sz w:val="18"/>
                <w:szCs w:val="18"/>
              </w:rPr>
            </w:pPr>
            <w:r w:rsidRPr="004A179F">
              <w:rPr>
                <w:rFonts w:cstheme="minorHAnsi"/>
                <w:sz w:val="18"/>
                <w:szCs w:val="18"/>
              </w:rPr>
              <w:t>да</w:t>
            </w:r>
          </w:p>
        </w:tc>
        <w:tc>
          <w:tcPr>
            <w:tcW w:w="2600" w:type="pct"/>
            <w:shd w:val="clear" w:color="auto" w:fill="92D050"/>
            <w:vAlign w:val="center"/>
            <w:gridSpan w:val="2"/>
          </w:tcPr>
          <w:p w14:paraId="354B011A" w14:textId="77777777" w:rsidR="001F6A3D" w:rsidRPr="008E51FF" w:rsidRDefault="001F6A3D" w:rsidP="00D84191">
            <w:pPr>
              <w:spacing w:after="0" w:line="240" w:lineRule="auto"/>
              <w:rPr>
                <w:rFonts w:cstheme="minorHAnsi"/>
                <w:b/>
                <w:sz w:val="20"/>
                <w:szCs w:val="20"/>
              </w:rPr>
            </w:pPr>
            <w:r w:rsidRPr="008E51FF">
              <w:rPr>
                <w:rFonts w:cstheme="minorHAnsi"/>
                <w:b/>
                <w:sz w:val="20"/>
                <w:szCs w:val="20"/>
              </w:rPr>
              <w:t>Compliance risk</w:t>
            </w:r>
          </w:p>
        </w:tc>
        <w:tc>
          <w:tcPr>
            <w:tcW w:w="4557" w:type="pct"/>
            <w:shd w:val="clear" w:color="auto" w:fill="auto"/>
            <w:vAlign w:val="center"/>
            <w:gridSpan w:val="2"/>
          </w:tcPr>
          <w:p>
            <w:r>
              <w:t>Низкий</w:t>
            </w:r>
          </w:p>
        </w:tc>
      </w:tr>
      <w:tr w:rsidR="001F6A3D" w:rsidRPr="008E51FF" w14:paraId="0B49EA92" w14:textId="77777777" w:rsidTr="0067126E">
        <w:trPr>
          <w:trHeight w:val="444"/>
          <w:jc w:val="center"/>
        </w:trPr>
        <w:tc>
          <w:tcPr>
            <w:tcW w:w="3248" w:type="pct"/>
            <w:gridSpan w:val="4"/>
            <w:shd w:val="clear" w:color="auto" w:fill="92D050"/>
            <w:vAlign w:val="center"/>
          </w:tcPr>
          <w:p w14:paraId="7A2A0FE8"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Serving banks</w:t>
            </w:r>
          </w:p>
        </w:tc>
        <w:tc>
          <w:tcPr>
            <w:tcW w:w="5200" w:type="pct"/>
            <w:gridSpan w:val="4"/>
            <w:shd w:val="clear" w:color="auto" w:fill="auto"/>
            <w:vAlign w:val="center"/>
          </w:tcPr>
          <w:p w14:paraId="3AB1371C" w14:textId="77777777" w:rsidR="00337CBD" w:rsidRPr="008E51FF" w:rsidRDefault="00337CBD" w:rsidP="00D84191">
            <w:pPr>
              <w:spacing w:after="0" w:line="240" w:lineRule="auto"/>
              <w:rPr>
                <w:rFonts w:cstheme="minorHAnsi"/>
                <w:color w:val="000000"/>
                <w:sz w:val="20"/>
                <w:szCs w:val="20"/>
              </w:rPr>
            </w:pPr>
            <w:r w:rsidRPr="008E51FF">
              <w:rPr>
                <w:rFonts w:cstheme="minorHAnsi"/>
                <w:sz w:val="20"/>
                <w:szCs w:val="20"/>
              </w:rPr>
              <w:t>Primary account: Учтепинский филиал Национального банка Узбекистана</w:t>
              <w:br/>
              <w:t>Secondary accounts: вторичный счет в Юнусабадском филиале Ипотека Банка</w:t>
            </w:r>
          </w:p>
          <w:p w14:paraId="3B9C0284" w14:textId="77777777" w:rsidR="00337CBD" w:rsidRPr="008E51FF" w:rsidRDefault="00337CBD" w:rsidP="00D84191">
            <w:pPr>
              <w:spacing w:after="0" w:line="240" w:lineRule="auto"/>
              <w:rPr>
                <w:rFonts w:cstheme="minorHAnsi"/>
                <w:color w:val="000000"/>
                <w:sz w:val="20"/>
                <w:szCs w:val="20"/>
              </w:rPr>
            </w:pPr>
            <w:r w:rsidRPr="008E51FF">
              <w:rPr>
                <w:rFonts w:cstheme="minorHAnsi"/>
                <w:color w:val="000000"/>
                <w:sz w:val="20"/>
                <w:szCs w:val="20"/>
              </w:rPr>
            </w:r>
          </w:p>
        </w:tc>
        <w:tc>
          <w:tcPr>
            <w:tcW w:w="2601" w:type="pct"/>
            <w:shd w:val="clear" w:color="auto" w:fill="92D050"/>
            <w:vAlign w:val="center"/>
          </w:tcPr>
          <w:p w14:paraId="6B195785" w14:textId="26C58690" w:rsidR="00337CBD" w:rsidRPr="008E51FF" w:rsidRDefault="00BE41A1" w:rsidP="00D84191">
            <w:pPr>
              <w:spacing w:after="0" w:line="240" w:lineRule="auto"/>
              <w:rPr>
                <w:rFonts w:cstheme="minorHAnsi"/>
                <w:b/>
                <w:sz w:val="20"/>
                <w:szCs w:val="20"/>
              </w:rPr>
            </w:pPr>
            <w:r>
              <w:rPr>
                <w:rFonts w:cstheme="minorHAnsi"/>
                <w:b/>
                <w:sz w:val="20"/>
                <w:szCs w:val="20"/>
              </w:rPr>
              <w:t>Relationship</w:t>
            </w:r>
            <w:r w:rsidR="00337CBD" w:rsidRPr="008E51FF">
              <w:rPr>
                <w:rFonts w:cstheme="minorHAnsi"/>
                <w:b/>
                <w:sz w:val="20"/>
                <w:szCs w:val="20"/>
              </w:rPr>
              <w:t xml:space="preserve"> with the Bank since</w:t>
            </w:r>
          </w:p>
        </w:tc>
        <w:tc>
          <w:tcPr>
            <w:tcW w:w="1956" w:type="pct"/>
            <w:shd w:val="clear" w:color="auto" w:fill="auto"/>
            <w:vAlign w:val="center"/>
          </w:tcPr>
          <w:p w14:paraId="463F73CA"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2021</w:t>
            </w:r>
          </w:p>
        </w:tc>
      </w:tr>
      <w:tr w:rsidR="001F6A3D" w:rsidRPr="008E51FF" w14:paraId="3B6C3CA4" w14:textId="77777777" w:rsidTr="0067126E">
        <w:trPr>
          <w:trHeight w:val="323"/>
          <w:jc w:val="center"/>
        </w:trPr>
        <w:tc>
          <w:tcPr>
            <w:tcW w:w="3248" w:type="pct"/>
            <w:gridSpan w:val="4"/>
            <w:shd w:val="clear" w:color="auto" w:fill="92D050"/>
            <w:vAlign w:val="center"/>
          </w:tcPr>
          <w:p w14:paraId="2DB8A2E1"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Main products</w:t>
            </w:r>
          </w:p>
        </w:tc>
        <w:tc>
          <w:tcPr>
            <w:tcW w:w="5200" w:type="pct"/>
            <w:gridSpan w:val="4"/>
            <w:shd w:val="clear" w:color="auto" w:fill="auto"/>
            <w:vAlign w:val="center"/>
          </w:tcPr>
          <w:p w14:paraId="1F4D624A" w14:textId="77777777" w:rsidR="00337CBD" w:rsidRPr="008E51FF" w:rsidRDefault="00337CBD" w:rsidP="00D84191">
            <w:pPr>
              <w:spacing w:after="0" w:line="240" w:lineRule="auto"/>
              <w:rPr>
                <w:rFonts w:cstheme="minorHAnsi"/>
                <w:sz w:val="20"/>
                <w:szCs w:val="20"/>
              </w:rPr>
            </w:pPr>
            <w:r>
              <w:t>оптовая торговля безалкогольными напитками</w:t>
            </w:r>
          </w:p>
        </w:tc>
        <w:tc>
          <w:tcPr>
            <w:tcW w:w="2601" w:type="pct"/>
            <w:shd w:val="clear" w:color="auto" w:fill="92D050"/>
            <w:vAlign w:val="center"/>
          </w:tcPr>
          <w:p w14:paraId="76C06E79" w14:textId="575829A6" w:rsidR="00337CBD" w:rsidRPr="008E51FF" w:rsidRDefault="00337CBD" w:rsidP="00D84191">
            <w:pPr>
              <w:spacing w:after="0" w:line="240" w:lineRule="auto"/>
              <w:rPr>
                <w:rFonts w:cstheme="minorHAnsi"/>
                <w:sz w:val="20"/>
                <w:szCs w:val="20"/>
              </w:rPr>
            </w:pPr>
            <w:r w:rsidRPr="008E51FF">
              <w:rPr>
                <w:rFonts w:cstheme="minorHAnsi"/>
                <w:b/>
                <w:sz w:val="20"/>
                <w:szCs w:val="20"/>
              </w:rPr>
              <w:t>External Audit</w:t>
            </w:r>
          </w:p>
        </w:tc>
        <w:tc>
          <w:tcPr>
            <w:tcW w:w="1956" w:type="pct"/>
            <w:shd w:val="clear" w:color="auto" w:fill="auto"/>
            <w:vAlign w:val="center"/>
          </w:tcPr>
          <w:p w14:paraId="4F5AFDA2" w14:textId="77777777" w:rsidR="00337CBD" w:rsidRPr="008E51FF" w:rsidRDefault="00337CBD" w:rsidP="00D84191">
            <w:pPr>
              <w:spacing w:after="0" w:line="240" w:lineRule="auto"/>
              <w:rPr>
                <w:rFonts w:cstheme="minorHAnsi"/>
                <w:sz w:val="18"/>
                <w:szCs w:val="18"/>
              </w:rPr>
            </w:pPr>
            <w:r w:rsidRPr="008E51FF">
              <w:rPr>
                <w:rFonts w:cstheme="minorHAnsi"/>
                <w:sz w:val="18"/>
                <w:szCs w:val="18"/>
              </w:rPr>
              <w:t>—</w:t>
            </w:r>
          </w:p>
          <w:p w14:paraId="70C11C6C" w14:textId="77777777" w:rsidR="00337CBD" w:rsidRPr="008E51FF" w:rsidRDefault="00337CBD" w:rsidP="00D84191">
            <w:pPr>
              <w:spacing w:after="0" w:line="240" w:lineRule="auto"/>
              <w:rPr>
                <w:rFonts w:cstheme="minorHAnsi"/>
                <w:sz w:val="20"/>
                <w:szCs w:val="20"/>
              </w:rPr>
            </w:pPr>
            <w:r w:rsidRPr="008E51FF">
              <w:rPr>
                <w:rFonts w:cstheme="minorHAnsi"/>
                <w:sz w:val="18"/>
                <w:szCs w:val="18"/>
              </w:rPr>
            </w:r>
          </w:p>
        </w:tc>
      </w:tr>
      <w:tr w:rsidR="001F6A3D" w:rsidRPr="008E51FF" w14:paraId="4DC57125" w14:textId="77777777" w:rsidTr="0067126E">
        <w:trPr>
          <w:trHeight w:val="272"/>
          <w:jc w:val="center"/>
        </w:trPr>
        <w:tc>
          <w:tcPr>
            <w:tcW w:w="3248" w:type="pct"/>
            <w:gridSpan w:val="4"/>
            <w:tcBorders>
              <w:bottom w:val="single" w:sz="4" w:space="0" w:color="auto"/>
            </w:tcBorders>
            <w:shd w:val="clear" w:color="auto" w:fill="92D050"/>
            <w:vAlign w:val="center"/>
          </w:tcPr>
          <w:p w14:paraId="425F3E83"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Shareholders</w:t>
            </w:r>
          </w:p>
        </w:tc>
        <w:tc>
          <w:tcPr>
            <w:tcW w:w="5200" w:type="pct"/>
            <w:gridSpan w:val="4"/>
            <w:tcBorders>
              <w:bottom w:val="single" w:sz="4" w:space="0" w:color="auto"/>
            </w:tcBorders>
            <w:shd w:val="clear" w:color="auto" w:fill="auto"/>
            <w:vAlign w:val="center"/>
          </w:tcPr>
          <w:p w14:paraId="5AEE06BF"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АНВАРОВ ОТАБЕК ФАРХОД УГЛИ, ФОЗИЛОВ ЖАХОНГИР ФАХРИДИН УГЛИ</w:t>
            </w:r>
          </w:p>
        </w:tc>
        <w:tc>
          <w:tcPr>
            <w:tcW w:w="2601" w:type="pct"/>
            <w:tcBorders>
              <w:bottom w:val="single" w:sz="4" w:space="0" w:color="auto"/>
            </w:tcBorders>
            <w:shd w:val="clear" w:color="auto" w:fill="92D050"/>
            <w:vAlign w:val="center"/>
          </w:tcPr>
          <w:p w14:paraId="7885C173" w14:textId="32A302A4" w:rsidR="00337CBD" w:rsidRPr="004A179F" w:rsidRDefault="00337CBD" w:rsidP="00D84191">
            <w:pPr>
              <w:spacing w:after="0" w:line="240" w:lineRule="auto"/>
              <w:rPr>
                <w:rFonts w:cstheme="minorHAnsi"/>
                <w:b/>
                <w:sz w:val="20"/>
                <w:szCs w:val="20"/>
              </w:rPr>
            </w:pPr>
            <w:r w:rsidRPr="004A179F">
              <w:rPr>
                <w:rFonts w:cstheme="minorHAnsi"/>
                <w:b/>
                <w:sz w:val="20"/>
                <w:szCs w:val="20"/>
              </w:rPr>
              <w:t xml:space="preserve">Client </w:t>
            </w:r>
            <w:r w:rsidR="00441C69" w:rsidRPr="004A179F">
              <w:rPr>
                <w:rFonts w:cstheme="minorHAnsi"/>
                <w:b/>
                <w:sz w:val="20"/>
                <w:szCs w:val="20"/>
              </w:rPr>
              <w:t xml:space="preserve">exposure </w:t>
            </w:r>
            <w:r w:rsidRPr="004A179F">
              <w:rPr>
                <w:rFonts w:cstheme="minorHAnsi"/>
                <w:b/>
                <w:sz w:val="20"/>
                <w:szCs w:val="20"/>
              </w:rPr>
              <w:t>(</w:t>
            </w:r>
            <w:r w:rsidR="00441C69" w:rsidRPr="004A179F">
              <w:rPr>
                <w:rFonts w:cstheme="minorHAnsi"/>
                <w:b/>
                <w:sz w:val="20"/>
                <w:szCs w:val="20"/>
              </w:rPr>
              <w:t>existing</w:t>
            </w:r>
            <w:r w:rsidRPr="004A179F">
              <w:rPr>
                <w:rFonts w:cstheme="minorHAnsi"/>
                <w:b/>
                <w:sz w:val="20"/>
                <w:szCs w:val="20"/>
              </w:rPr>
              <w:t>)</w:t>
            </w:r>
          </w:p>
        </w:tc>
        <w:tc>
          <w:tcPr>
            <w:tcW w:w="1956" w:type="pct"/>
            <w:tcBorders>
              <w:bottom w:val="single" w:sz="4" w:space="0" w:color="auto"/>
            </w:tcBorders>
            <w:shd w:val="clear" w:color="auto" w:fill="auto"/>
            <w:vAlign w:val="center"/>
          </w:tcPr>
          <w:p w14:paraId="3E5B407B" w14:textId="77777777" w:rsidR="00337CBD" w:rsidRPr="008E51FF" w:rsidRDefault="00337CBD" w:rsidP="00D84191">
            <w:pPr>
              <w:spacing w:after="0" w:line="240" w:lineRule="auto"/>
              <w:jc w:val="both"/>
              <w:rPr>
                <w:rFonts w:cstheme="minorHAnsi"/>
                <w:sz w:val="20"/>
                <w:szCs w:val="20"/>
              </w:rPr>
            </w:pPr>
            <w:r w:rsidRPr="008E51FF">
              <w:rPr>
                <w:rFonts w:cstheme="minorHAnsi"/>
                <w:sz w:val="20"/>
                <w:szCs w:val="20"/>
              </w:rPr>
              <w:t>4,944,559,400 UZS</w:t>
            </w:r>
          </w:p>
        </w:tc>
      </w:tr>
      <w:tr w:rsidR="001F6A3D" w:rsidRPr="008E51FF" w14:paraId="01F03654" w14:textId="77777777" w:rsidTr="0067126E">
        <w:trPr>
          <w:trHeight w:val="275"/>
          <w:jc w:val="center"/>
        </w:trPr>
        <w:tc>
          <w:tcPr>
            <w:tcW w:w="3248" w:type="pct"/>
            <w:gridSpan w:val="4"/>
            <w:tcBorders>
              <w:bottom w:val="single" w:sz="4" w:space="0" w:color="auto"/>
            </w:tcBorders>
            <w:shd w:val="clear" w:color="auto" w:fill="92D050"/>
            <w:vAlign w:val="center"/>
          </w:tcPr>
          <w:p>
            <w:r>
              <w:rPr>
                <w:b/>
              </w:rPr>
              <w:t>Credit rating</w:t>
            </w:r>
          </w:p>
        </w:tc>
        <w:tc>
          <w:tcPr>
            <w:gridSpan w:val="6"/>
          </w:tcPr>
          <w:p w14:paraId="2A9276B4"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B - 61 Средний</w:t>
            </w:r>
          </w:p>
        </w:tc>
      </w:tr>
      <w:tr w:rsidR="001F6A3D" w:rsidRPr="008E51FF" w14:paraId="4DC57125" w14:textId="77777777" w:rsidTr="0067126E">
        <w:trPr>
          <w:trHeight w:val="272"/>
          <w:jc w:val="center"/>
        </w:trPr>
        <w:tc>
          <w:tcPr>
            <w:tcW w:w="4548" w:type="pct"/>
            <w:gridSpan w:val="5"/>
            <w:tcBorders>
              <w:bottom w:val="single" w:sz="4" w:space="0" w:color="auto"/>
            </w:tcBorders>
            <w:shd w:val="clear" w:color="auto" w:fill="92D050"/>
            <w:vAlign w:val="center"/>
          </w:tcPr>
          <w:p>
            <w:r>
              <w:rPr>
                <w:b/>
              </w:rPr>
              <w:t>Client group exposure (existing)</w:t>
            </w:r>
          </w:p>
        </w:tc>
        <w:tc>
          <w:tcPr>
            <w:gridSpan w:val="5"/>
          </w:tcPr>
          <w:p w14:paraId="2A9276B4"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1,200,000</w:t>
            </w:r>
          </w:p>
        </w:tc>
      </w:tr>
    </w:tbl>
    <w:p w14:paraId="7FDE3A1D" w14:textId="13C8D840" w:rsidR="00063457" w:rsidRDefault="00D5003E" w:rsidP="006E24D8">
      <w:pPr>
        <w:ind w:left="-567"/>
        <w:contextualSpacing/>
        <w:jc w:val="both"/>
        <w:rPr>
          <w:rFonts w:ascii="Calibri" w:hAnsi="Calibri" w:cstheme="minorHAnsi"/>
          <w:i/>
          <w:sz w:val="20"/>
          <w:szCs w:val="20"/>
        </w:rPr>
      </w:pPr>
      <w:r>
        <w:rPr>
          <w:rFonts w:ascii="Calibri" w:hAnsi="Calibri" w:cstheme="minorHAnsi"/>
          <w:i/>
          <w:sz w:val="20"/>
          <w:szCs w:val="20"/>
        </w:rPr>
        <w:t>Loan purpose and structure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805"/>
        <w:gridCol w:w="2284"/>
        <w:gridCol w:w="3444"/>
      </w:tblGrid>
      <w:tr w:rsidR="00337CBD" w:rsidRPr="008E51FF" w14:paraId="4AF73D72" w14:textId="77777777" w:rsidTr="0067126E">
        <w:trPr>
          <w:trHeight w:val="154"/>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83B236D" w14:textId="77777777" w:rsidR="00337CBD" w:rsidRPr="004A179F" w:rsidRDefault="00337CBD" w:rsidP="00D84191">
            <w:pPr>
              <w:spacing w:after="0"/>
              <w:rPr>
                <w:rFonts w:cstheme="minorHAnsi"/>
                <w:b/>
                <w:sz w:val="20"/>
                <w:szCs w:val="20"/>
              </w:rPr>
            </w:pPr>
            <w:r w:rsidRPr="004A179F">
              <w:rPr>
                <w:rFonts w:cstheme="minorHAnsi"/>
                <w:b/>
                <w:sz w:val="20"/>
                <w:szCs w:val="20"/>
              </w:rPr>
              <w:t>Револьверный кредит</w:t>
            </w:r>
          </w:p>
        </w:tc>
        <w:tc>
          <w:tcPr>
            <w:tcW w:w="1767" w:type="pct"/>
            <w:tcBorders>
              <w:top w:val="single" w:sz="4" w:space="0" w:color="auto"/>
              <w:left w:val="single" w:sz="4" w:space="0" w:color="auto"/>
              <w:bottom w:val="single" w:sz="4" w:space="0" w:color="auto"/>
              <w:right w:val="single" w:sz="4" w:space="0" w:color="auto"/>
            </w:tcBorders>
            <w:vAlign w:val="center"/>
          </w:tcPr>
          <w:p w14:paraId="1FCAF2E1" w14:textId="77777777" w:rsidR="00337CBD" w:rsidRPr="004A179F" w:rsidRDefault="00337CBD" w:rsidP="00D84191">
            <w:pPr>
              <w:spacing w:after="0" w:line="240" w:lineRule="auto"/>
              <w:rPr>
                <w:rFonts w:cstheme="minorHAnsi"/>
                <w:color w:val="0D0D0D"/>
                <w:sz w:val="20"/>
                <w:szCs w:val="20"/>
              </w:rPr>
            </w:pPr>
            <w:r w:rsidRPr="004A179F">
              <w:rPr>
                <w:rFonts w:cstheme="minorHAnsi"/>
                <w:color w:val="0D0D0D"/>
                <w:sz w:val="20"/>
                <w:szCs w:val="20"/>
              </w:rPr>
              <w:t>Собственные средства банка</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47D452E4" w14:textId="77777777" w:rsidR="00337CBD" w:rsidRPr="008E51FF" w:rsidRDefault="00337CBD" w:rsidP="00D84191">
            <w:pPr>
              <w:spacing w:after="0"/>
              <w:rPr>
                <w:rFonts w:cstheme="minorHAnsi"/>
                <w:b/>
                <w:sz w:val="20"/>
                <w:szCs w:val="20"/>
              </w:rPr>
            </w:pPr>
            <w:r w:rsidRPr="008E51FF">
              <w:rPr>
                <w:rFonts w:cstheme="minorHAnsi"/>
                <w:b/>
                <w:sz w:val="20"/>
                <w:szCs w:val="20"/>
              </w:rPr>
              <w:t>Собственные</w:t>
            </w:r>
          </w:p>
        </w:tc>
        <w:tc>
          <w:tcPr>
            <w:tcW w:w="1599" w:type="pct"/>
            <w:tcBorders>
              <w:top w:val="single" w:sz="4" w:space="0" w:color="auto"/>
              <w:left w:val="single" w:sz="4" w:space="0" w:color="auto"/>
              <w:bottom w:val="single" w:sz="4" w:space="0" w:color="auto"/>
              <w:right w:val="single" w:sz="4" w:space="0" w:color="auto"/>
            </w:tcBorders>
          </w:tcPr>
          <w:p w14:paraId="377CD4AA" w14:textId="77777777" w:rsidR="00337CBD" w:rsidRPr="008E51FF" w:rsidRDefault="00337CBD" w:rsidP="00D84191">
            <w:pPr>
              <w:spacing w:after="0"/>
              <w:rPr>
                <w:rFonts w:cstheme="minorHAnsi"/>
                <w:sz w:val="20"/>
                <w:szCs w:val="20"/>
              </w:rPr>
            </w:pPr>
            <w:r w:rsidRPr="008E51FF">
              <w:rPr>
                <w:rFonts w:cstheme="minorHAnsi"/>
                <w:sz w:val="20"/>
                <w:szCs w:val="20"/>
              </w:rPr>
              <w:t>ежемесячно</w:t>
            </w:r>
          </w:p>
        </w:tc>
      </w:tr>
      <w:tr w:rsidR="00AE2A10" w:rsidRPr="008E51FF" w14:paraId="1841334E"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09FD2764" w14:textId="445EE515" w:rsidR="00AE2A10" w:rsidRPr="004A179F" w:rsidRDefault="00AE2A10" w:rsidP="00D84191">
            <w:pPr>
              <w:spacing w:after="0"/>
              <w:rPr>
                <w:rFonts w:cstheme="minorHAnsi"/>
                <w:b/>
                <w:sz w:val="20"/>
                <w:szCs w:val="20"/>
              </w:rPr>
            </w:pPr>
            <w:r w:rsidRPr="004A179F">
              <w:rPr>
                <w:rFonts w:cstheme="minorHAnsi"/>
                <w:b/>
                <w:sz w:val="20"/>
                <w:szCs w:val="20"/>
              </w:rPr>
              <w:t xml:space="preserve">Proposed </w:t>
            </w:r>
            <w:r w:rsidR="008F4D2E" w:rsidRPr="004A179F">
              <w:rPr>
                <w:rFonts w:cstheme="minorHAnsi"/>
                <w:b/>
                <w:sz w:val="20"/>
                <w:szCs w:val="20"/>
              </w:rPr>
              <w:t>Group exposure</w:t>
            </w:r>
          </w:p>
        </w:tc>
        <w:tc>
          <w:tcPr>
            <w:tcW w:w="1767" w:type="pct"/>
            <w:tcBorders>
              <w:top w:val="single" w:sz="4" w:space="0" w:color="auto"/>
              <w:left w:val="single" w:sz="4" w:space="0" w:color="auto"/>
              <w:bottom w:val="single" w:sz="4" w:space="0" w:color="auto"/>
              <w:right w:val="single" w:sz="4" w:space="0" w:color="auto"/>
            </w:tcBorders>
            <w:vAlign w:val="center"/>
          </w:tcPr>
          <w:p w14:paraId="4FDCED29" w14:textId="3E48D45F"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r w:rsidR="00FD469B" w:rsidRPr="004A179F">
              <w:rPr>
                <w:rFonts w:cstheme="minorHAnsi"/>
                <w:color w:val="0D0D0D"/>
                <w:sz w:val="20"/>
                <w:szCs w:val="20"/>
              </w:rPr>
            </w:r>
          </w:p>
        </w:tc>
        <w:tc>
          <w:tcPr>
            <w:tcW w:w="1060" w:type="pct"/>
            <w:vMerge w:val="restart"/>
            <w:tcBorders>
              <w:top w:val="single" w:sz="4" w:space="0" w:color="auto"/>
              <w:left w:val="single" w:sz="4" w:space="0" w:color="auto"/>
              <w:right w:val="single" w:sz="4" w:space="0" w:color="auto"/>
            </w:tcBorders>
            <w:shd w:val="clear" w:color="auto" w:fill="92D050"/>
            <w:vAlign w:val="center"/>
          </w:tcPr>
          <w:p w14:paraId="698322D2" w14:textId="77777777" w:rsidR="00AE2A10" w:rsidRPr="008E51FF" w:rsidRDefault="00AE2A10" w:rsidP="00D84191">
            <w:pPr>
              <w:spacing w:after="0"/>
              <w:rPr>
                <w:rFonts w:cstheme="minorHAnsi"/>
                <w:b/>
                <w:sz w:val="20"/>
                <w:szCs w:val="20"/>
              </w:rPr>
            </w:pPr>
            <w:r w:rsidRPr="008E51FF">
              <w:rPr>
                <w:rFonts w:cstheme="minorHAnsi"/>
                <w:b/>
                <w:sz w:val="20"/>
                <w:szCs w:val="20"/>
              </w:rPr>
              <w:t>Interest Repayment</w:t>
            </w:r>
          </w:p>
        </w:tc>
        <w:tc>
          <w:tcPr>
            <w:tcW w:w="1599" w:type="pct"/>
            <w:vMerge w:val="restart"/>
            <w:tcBorders>
              <w:top w:val="single" w:sz="4" w:space="0" w:color="auto"/>
              <w:left w:val="single" w:sz="4" w:space="0" w:color="auto"/>
              <w:right w:val="single" w:sz="4" w:space="0" w:color="auto"/>
            </w:tcBorders>
            <w:vAlign w:val="center"/>
          </w:tcPr>
          <w:p w14:paraId="66DBC5D4" w14:textId="77777777" w:rsidR="00AE2A10" w:rsidRPr="008E51FF" w:rsidRDefault="00AE2A10" w:rsidP="00441C69">
            <w:pPr>
              <w:spacing w:after="0"/>
              <w:rPr>
                <w:rFonts w:cstheme="minorHAnsi"/>
                <w:sz w:val="20"/>
                <w:szCs w:val="20"/>
              </w:rPr>
            </w:pPr>
            <w:r w:rsidRPr="008E51FF">
              <w:rPr>
                <w:rFonts w:cstheme="minorHAnsi"/>
                <w:sz w:val="20"/>
                <w:szCs w:val="20"/>
              </w:rPr>
              <w:t>Каждое использование на 12 месяцев, с погашением равными частями в последние 3 месяца.</w:t>
            </w:r>
          </w:p>
        </w:tc>
      </w:tr>
      <w:tr w:rsidR="00AE2A10" w:rsidRPr="008E51FF" w14:paraId="0689E405"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6ED8B2AC" w14:textId="557E0EB4" w:rsidR="00AE2A10" w:rsidRPr="004A179F" w:rsidRDefault="008F4D2E" w:rsidP="00D84191">
            <w:pPr>
              <w:spacing w:after="0"/>
              <w:rPr>
                <w:rFonts w:cstheme="minorHAnsi"/>
                <w:b/>
                <w:sz w:val="20"/>
                <w:szCs w:val="20"/>
              </w:rPr>
            </w:pPr>
            <w:r w:rsidRPr="004A179F">
              <w:rPr>
                <w:rFonts w:cstheme="minorHAnsi"/>
                <w:b/>
                <w:sz w:val="20"/>
                <w:szCs w:val="20"/>
              </w:rPr>
              <w:t>Proposed Client exposure</w:t>
            </w:r>
          </w:p>
        </w:tc>
        <w:tc>
          <w:tcPr>
            <w:tcW w:w="1767" w:type="pct"/>
            <w:tcBorders>
              <w:top w:val="single" w:sz="4" w:space="0" w:color="auto"/>
              <w:left w:val="single" w:sz="4" w:space="0" w:color="auto"/>
              <w:bottom w:val="single" w:sz="4" w:space="0" w:color="auto"/>
              <w:right w:val="single" w:sz="4" w:space="0" w:color="auto"/>
            </w:tcBorders>
            <w:vAlign w:val="center"/>
          </w:tcPr>
          <w:p w14:paraId="0A4B6B38" w14:textId="2282040B"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r w:rsidR="00FD469B" w:rsidRPr="004A179F">
              <w:rPr>
                <w:rFonts w:cstheme="minorHAnsi"/>
                <w:color w:val="0D0D0D"/>
                <w:sz w:val="20"/>
                <w:szCs w:val="20"/>
              </w:rPr>
            </w:r>
          </w:p>
        </w:tc>
        <w:tc>
          <w:tcPr>
            <w:tcW w:w="1060" w:type="pct"/>
            <w:vMerge/>
            <w:tcBorders>
              <w:left w:val="single" w:sz="4" w:space="0" w:color="auto"/>
              <w:right w:val="single" w:sz="4" w:space="0" w:color="auto"/>
            </w:tcBorders>
            <w:shd w:val="clear" w:color="auto" w:fill="92D050"/>
            <w:vAlign w:val="center"/>
          </w:tcPr>
          <w:p w14:paraId="0A5D0B34" w14:textId="77777777" w:rsidR="00AE2A10" w:rsidRPr="008E51FF" w:rsidRDefault="00AE2A10" w:rsidP="00D84191">
            <w:pPr>
              <w:spacing w:after="0"/>
              <w:rPr>
                <w:rFonts w:cstheme="minorHAnsi"/>
                <w:b/>
                <w:sz w:val="20"/>
                <w:szCs w:val="20"/>
              </w:rPr>
            </w:pPr>
          </w:p>
        </w:tc>
        <w:tc>
          <w:tcPr>
            <w:tcW w:w="1599" w:type="pct"/>
            <w:vMerge/>
            <w:tcBorders>
              <w:left w:val="single" w:sz="4" w:space="0" w:color="auto"/>
              <w:right w:val="single" w:sz="4" w:space="0" w:color="auto"/>
            </w:tcBorders>
          </w:tcPr>
          <w:p w14:paraId="2E8384C9" w14:textId="77777777" w:rsidR="00AE2A10" w:rsidRPr="008E51FF" w:rsidRDefault="00AE2A10" w:rsidP="00D84191">
            <w:pPr>
              <w:spacing w:after="0"/>
              <w:rPr>
                <w:rFonts w:cstheme="minorHAnsi"/>
                <w:sz w:val="20"/>
                <w:szCs w:val="20"/>
              </w:rPr>
            </w:pPr>
          </w:p>
        </w:tc>
      </w:tr>
      <w:tr w:rsidR="00AE2A10" w:rsidRPr="008E51FF" w14:paraId="4EB85F0F"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DAC3F7B" w14:textId="0B619456" w:rsidR="00AE2A10" w:rsidRPr="004A179F" w:rsidRDefault="008F4D2E" w:rsidP="00D84191">
            <w:pPr>
              <w:spacing w:after="0"/>
              <w:rPr>
                <w:rFonts w:cstheme="minorHAnsi"/>
                <w:b/>
                <w:sz w:val="20"/>
                <w:szCs w:val="20"/>
              </w:rPr>
            </w:pPr>
            <w:r w:rsidRPr="004A179F">
              <w:rPr>
                <w:rFonts w:cstheme="minorHAnsi"/>
                <w:b/>
                <w:sz w:val="20"/>
                <w:szCs w:val="20"/>
              </w:rPr>
              <w:t>Proposed new transaction amount</w:t>
            </w:r>
          </w:p>
        </w:tc>
        <w:tc>
          <w:tcPr>
            <w:tcW w:w="1767" w:type="pct"/>
            <w:tcBorders>
              <w:top w:val="single" w:sz="4" w:space="0" w:color="auto"/>
              <w:left w:val="single" w:sz="4" w:space="0" w:color="auto"/>
              <w:bottom w:val="single" w:sz="4" w:space="0" w:color="auto"/>
              <w:right w:val="single" w:sz="4" w:space="0" w:color="auto"/>
            </w:tcBorders>
            <w:vAlign w:val="center"/>
          </w:tcPr>
          <w:p w14:paraId="740C1198" w14:textId="6FE3BBC9"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p>
        </w:tc>
        <w:tc>
          <w:tcPr>
            <w:tcW w:w="1060" w:type="pct"/>
            <w:vMerge/>
            <w:tcBorders>
              <w:left w:val="single" w:sz="4" w:space="0" w:color="auto"/>
              <w:bottom w:val="single" w:sz="4" w:space="0" w:color="auto"/>
              <w:right w:val="single" w:sz="4" w:space="0" w:color="auto"/>
            </w:tcBorders>
            <w:shd w:val="clear" w:color="auto" w:fill="92D050"/>
            <w:vAlign w:val="center"/>
          </w:tcPr>
          <w:p w14:paraId="0E0BF21A" w14:textId="77777777" w:rsidR="00AE2A10" w:rsidRPr="008E51FF" w:rsidRDefault="00AE2A10" w:rsidP="00D84191">
            <w:pPr>
              <w:spacing w:after="0"/>
              <w:rPr>
                <w:rFonts w:cstheme="minorHAnsi"/>
                <w:b/>
                <w:sz w:val="20"/>
                <w:szCs w:val="20"/>
              </w:rPr>
            </w:pPr>
          </w:p>
        </w:tc>
        <w:tc>
          <w:tcPr>
            <w:tcW w:w="1599" w:type="pct"/>
            <w:vMerge/>
            <w:tcBorders>
              <w:left w:val="single" w:sz="4" w:space="0" w:color="auto"/>
              <w:bottom w:val="single" w:sz="4" w:space="0" w:color="auto"/>
              <w:right w:val="single" w:sz="4" w:space="0" w:color="auto"/>
            </w:tcBorders>
          </w:tcPr>
          <w:p w14:paraId="7B5388E9" w14:textId="77777777" w:rsidR="00AE2A10" w:rsidRPr="008E51FF" w:rsidRDefault="00AE2A10" w:rsidP="00D84191">
            <w:pPr>
              <w:spacing w:after="0"/>
              <w:rPr>
                <w:rFonts w:cstheme="minorHAnsi"/>
                <w:sz w:val="20"/>
                <w:szCs w:val="20"/>
              </w:rPr>
            </w:pPr>
          </w:p>
        </w:tc>
      </w:tr>
      <w:tr w:rsidR="00337CBD" w:rsidRPr="008E51FF" w14:paraId="55141C72" w14:textId="77777777" w:rsidTr="0067126E">
        <w:trPr>
          <w:trHeight w:val="234"/>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859F049"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Purpose </w:t>
            </w:r>
          </w:p>
        </w:tc>
        <w:tc>
          <w:tcPr>
            <w:tcW w:w="1767" w:type="pct"/>
            <w:tcBorders>
              <w:top w:val="single" w:sz="4" w:space="0" w:color="auto"/>
              <w:left w:val="single" w:sz="4" w:space="0" w:color="auto"/>
              <w:bottom w:val="single" w:sz="4" w:space="0" w:color="auto"/>
              <w:right w:val="single" w:sz="4" w:space="0" w:color="auto"/>
            </w:tcBorders>
            <w:vAlign w:val="center"/>
          </w:tcPr>
          <w:p w14:paraId="4D63D5CB" w14:textId="77777777" w:rsidR="00337CBD" w:rsidRPr="004A179F" w:rsidRDefault="00337CBD" w:rsidP="00D84191">
            <w:pPr>
              <w:spacing w:after="0" w:line="240" w:lineRule="auto"/>
              <w:rPr>
                <w:rFonts w:cstheme="minorHAnsi"/>
                <w:color w:val="0D0D0D"/>
                <w:sz w:val="20"/>
                <w:szCs w:val="20"/>
              </w:rPr>
            </w:pPr>
            <w:r w:rsidRPr="004A179F">
              <w:rPr>
                <w:rFonts w:cstheme="minorHAnsi"/>
                <w:color w:val="0D0D0D"/>
                <w:sz w:val="20"/>
                <w:szCs w:val="20"/>
              </w:rPr>
              <w:t>Операционные расходы</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0A0DAC35" w14:textId="77777777" w:rsidR="00337CBD" w:rsidRPr="008E51FF" w:rsidRDefault="00337CBD" w:rsidP="00D84191">
            <w:pPr>
              <w:tabs>
                <w:tab w:val="left" w:pos="249"/>
              </w:tabs>
              <w:spacing w:after="0"/>
              <w:rPr>
                <w:rFonts w:cstheme="minorHAnsi"/>
                <w:b/>
                <w:sz w:val="20"/>
                <w:szCs w:val="20"/>
              </w:rPr>
            </w:pPr>
            <w:r w:rsidRPr="008E51FF">
              <w:rPr>
                <w:rFonts w:cstheme="minorHAnsi"/>
                <w:b/>
                <w:sz w:val="20"/>
                <w:szCs w:val="20"/>
              </w:rPr>
              <w:t>Repayment Schedule</w:t>
            </w:r>
          </w:p>
        </w:tc>
        <w:tc>
          <w:tcPr>
            <w:tcW w:w="1599" w:type="pct"/>
            <w:tcBorders>
              <w:top w:val="single" w:sz="4" w:space="0" w:color="auto"/>
              <w:left w:val="single" w:sz="4" w:space="0" w:color="auto"/>
              <w:bottom w:val="single" w:sz="4" w:space="0" w:color="auto"/>
              <w:right w:val="single" w:sz="4" w:space="0" w:color="auto"/>
            </w:tcBorders>
          </w:tcPr>
          <w:p w14:paraId="49943077" w14:textId="77777777" w:rsidR="00337CBD" w:rsidRPr="008E51FF" w:rsidRDefault="00337CBD" w:rsidP="00D84191">
            <w:pPr>
              <w:tabs>
                <w:tab w:val="left" w:pos="249"/>
              </w:tabs>
              <w:spacing w:after="0"/>
              <w:rPr>
                <w:rFonts w:cstheme="minorHAnsi"/>
                <w:sz w:val="20"/>
                <w:szCs w:val="20"/>
              </w:rPr>
            </w:pPr>
            <w:r w:rsidRPr="008E51FF">
              <w:rPr>
                <w:rFonts w:cstheme="minorHAnsi"/>
                <w:sz w:val="20"/>
                <w:szCs w:val="20"/>
              </w:rPr>
              <w:t>Залог недвижимости, принадлежащей ООО 'Conglomerate solutions'</w:t>
            </w:r>
          </w:p>
        </w:tc>
      </w:tr>
      <w:tr w:rsidR="00337CBD" w:rsidRPr="008E51FF" w14:paraId="0E9E7E99" w14:textId="77777777" w:rsidTr="0067126E">
        <w:trPr>
          <w:trHeight w:val="385"/>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F942BBC"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Currency </w:t>
            </w:r>
          </w:p>
        </w:tc>
        <w:tc>
          <w:tcPr>
            <w:tcW w:w="1767" w:type="pct"/>
            <w:tcBorders>
              <w:top w:val="single" w:sz="4" w:space="0" w:color="auto"/>
              <w:left w:val="single" w:sz="4" w:space="0" w:color="auto"/>
              <w:bottom w:val="single" w:sz="4" w:space="0" w:color="auto"/>
              <w:right w:val="single" w:sz="4" w:space="0" w:color="auto"/>
            </w:tcBorders>
            <w:vAlign w:val="center"/>
          </w:tcPr>
          <w:p w14:paraId="725EC1D5"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USD</w:t>
            </w:r>
          </w:p>
        </w:tc>
        <w:tc>
          <w:tcPr>
            <w:tcW w:w="1060" w:type="pct"/>
            <w:vMerge w:val="restart"/>
            <w:tcBorders>
              <w:top w:val="single" w:sz="4" w:space="0" w:color="auto"/>
              <w:left w:val="single" w:sz="4" w:space="0" w:color="auto"/>
              <w:right w:val="single" w:sz="4" w:space="0" w:color="auto"/>
            </w:tcBorders>
            <w:shd w:val="clear" w:color="auto" w:fill="92D050"/>
            <w:vAlign w:val="center"/>
          </w:tcPr>
          <w:p w14:paraId="383EF001" w14:textId="77777777"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r w:rsidRPr="008E51FF">
              <w:rPr>
                <w:rFonts w:asciiTheme="minorHAnsi" w:eastAsiaTheme="minorHAnsi" w:hAnsiTheme="minorHAnsi" w:cstheme="minorHAnsi"/>
                <w:b/>
                <w:sz w:val="20"/>
                <w:szCs w:val="20"/>
                <w:lang w:val="en-US" w:eastAsia="en-US"/>
              </w:rPr>
              <w:t>Collateral/Security</w:t>
            </w:r>
          </w:p>
        </w:tc>
        <w:tc>
          <w:tcPr>
            <w:tcW w:w="1599" w:type="pct"/>
            <w:vMerge w:val="restart"/>
            <w:tcBorders>
              <w:top w:val="single" w:sz="4" w:space="0" w:color="auto"/>
              <w:left w:val="single" w:sz="4" w:space="0" w:color="auto"/>
              <w:right w:val="single" w:sz="4" w:space="0" w:color="auto"/>
            </w:tcBorders>
          </w:tcPr>
          <w:p w14:paraId="618A384B"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r>
              <w:t>—</w:t>
            </w:r>
          </w:p>
        </w:tc>
      </w:tr>
      <w:tr w:rsidR="00337CBD" w:rsidRPr="008E51FF" w14:paraId="61410E01" w14:textId="77777777" w:rsidTr="0067126E">
        <w:trPr>
          <w:trHeight w:val="385"/>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716B75E4" w14:textId="77777777" w:rsidR="00337CBD" w:rsidRPr="008E51FF" w:rsidRDefault="00337CBD" w:rsidP="00D84191">
            <w:pPr>
              <w:spacing w:after="0"/>
              <w:rPr>
                <w:rFonts w:cstheme="minorHAnsi"/>
                <w:b/>
                <w:sz w:val="20"/>
                <w:szCs w:val="20"/>
              </w:rPr>
            </w:pPr>
            <w:r w:rsidRPr="008E51FF">
              <w:rPr>
                <w:rFonts w:cstheme="minorHAnsi"/>
                <w:b/>
                <w:sz w:val="20"/>
                <w:szCs w:val="20"/>
              </w:rPr>
              <w:t>Interest rate</w:t>
            </w:r>
          </w:p>
        </w:tc>
        <w:tc>
          <w:tcPr>
            <w:tcW w:w="1767" w:type="pct"/>
            <w:tcBorders>
              <w:top w:val="single" w:sz="4" w:space="0" w:color="auto"/>
              <w:left w:val="single" w:sz="4" w:space="0" w:color="auto"/>
              <w:bottom w:val="single" w:sz="4" w:space="0" w:color="auto"/>
              <w:right w:val="single" w:sz="4" w:space="0" w:color="auto"/>
            </w:tcBorders>
            <w:vAlign w:val="center"/>
          </w:tcPr>
          <w:p w14:paraId="4296A284"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10</w:t>
            </w:r>
          </w:p>
        </w:tc>
        <w:tc>
          <w:tcPr>
            <w:tcW w:w="1060" w:type="pct"/>
            <w:vMerge/>
            <w:tcBorders>
              <w:left w:val="single" w:sz="4" w:space="0" w:color="auto"/>
              <w:bottom w:val="single" w:sz="4" w:space="0" w:color="auto"/>
              <w:right w:val="single" w:sz="4" w:space="0" w:color="auto"/>
            </w:tcBorders>
            <w:shd w:val="clear" w:color="auto" w:fill="92D050"/>
            <w:vAlign w:val="center"/>
          </w:tcPr>
          <w:p w14:paraId="27E57101" w14:textId="77777777"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p>
        </w:tc>
        <w:tc>
          <w:tcPr>
            <w:tcW w:w="1599" w:type="pct"/>
            <w:vMerge/>
            <w:tcBorders>
              <w:left w:val="single" w:sz="4" w:space="0" w:color="auto"/>
              <w:bottom w:val="single" w:sz="4" w:space="0" w:color="auto"/>
              <w:right w:val="single" w:sz="4" w:space="0" w:color="auto"/>
            </w:tcBorders>
          </w:tcPr>
          <w:p w14:paraId="282CFF0B"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p>
        </w:tc>
      </w:tr>
      <w:tr w:rsidR="00337CBD" w:rsidRPr="008E51FF" w14:paraId="20A5B522" w14:textId="77777777" w:rsidTr="0067126E">
        <w:trPr>
          <w:trHeight w:val="376"/>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7C3215F" w14:textId="77777777" w:rsidR="00337CBD" w:rsidRPr="008E51FF" w:rsidRDefault="00337CBD" w:rsidP="00D84191">
            <w:pPr>
              <w:spacing w:after="0"/>
              <w:rPr>
                <w:rFonts w:cstheme="minorHAnsi"/>
                <w:b/>
                <w:sz w:val="20"/>
                <w:szCs w:val="20"/>
              </w:rPr>
            </w:pPr>
            <w:r w:rsidRPr="008E51FF">
              <w:rPr>
                <w:rFonts w:cstheme="minorHAnsi"/>
                <w:b/>
                <w:sz w:val="20"/>
                <w:szCs w:val="20"/>
              </w:rPr>
              <w:t>Term</w:t>
            </w:r>
          </w:p>
        </w:tc>
        <w:tc>
          <w:tcPr>
            <w:tcW w:w="1767" w:type="pct"/>
            <w:tcBorders>
              <w:top w:val="single" w:sz="4" w:space="0" w:color="auto"/>
              <w:left w:val="single" w:sz="4" w:space="0" w:color="auto"/>
              <w:bottom w:val="single" w:sz="4" w:space="0" w:color="auto"/>
              <w:right w:val="single" w:sz="4" w:space="0" w:color="auto"/>
            </w:tcBorders>
            <w:vAlign w:val="center"/>
          </w:tcPr>
          <w:p w14:paraId="33E3E74B"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36</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492D0169" w14:textId="77777777" w:rsidR="00337CBD" w:rsidRPr="00BE1026" w:rsidRDefault="00337CBD" w:rsidP="00D84191">
            <w:pPr>
              <w:pStyle w:val="ListParagraph"/>
              <w:ind w:left="0"/>
              <w:rPr>
                <w:rFonts w:asciiTheme="minorHAnsi" w:hAnsiTheme="minorHAnsi" w:cstheme="minorHAnsi"/>
                <w:iCs/>
                <w:lang w:val="ru-RU"/>
              </w:rPr>
            </w:pPr>
            <w:r w:rsidRPr="008E51FF">
              <w:rPr>
                <w:rFonts w:asciiTheme="minorHAnsi" w:eastAsiaTheme="minorHAnsi" w:hAnsiTheme="minorHAnsi" w:cstheme="minorHAnsi"/>
                <w:b/>
                <w:sz w:val="20"/>
                <w:szCs w:val="20"/>
                <w:lang w:val="en-US" w:eastAsia="en-US"/>
              </w:rPr>
              <w:t>Grace period</w:t>
            </w:r>
          </w:p>
        </w:tc>
        <w:tc>
          <w:tcPr>
            <w:tcW w:w="1599" w:type="pct"/>
            <w:tcBorders>
              <w:top w:val="single" w:sz="4" w:space="0" w:color="auto"/>
              <w:left w:val="single" w:sz="4" w:space="0" w:color="auto"/>
              <w:bottom w:val="single" w:sz="4" w:space="0" w:color="auto"/>
              <w:right w:val="single" w:sz="4" w:space="0" w:color="auto"/>
            </w:tcBorders>
          </w:tcPr>
          <w:p w14:paraId="5E9BF8D4"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r w:rsidRPr="008E51FF">
              <w:rPr>
                <w:rFonts w:asciiTheme="minorHAnsi" w:hAnsiTheme="minorHAnsi" w:cstheme="minorHAnsi"/>
                <w:color w:val="0D0D0D"/>
                <w:sz w:val="20"/>
                <w:szCs w:val="20"/>
                <w:lang w:val="en-US"/>
              </w:rPr>
              <w:t>0</w:t>
            </w:r>
          </w:p>
        </w:tc>
      </w:tr>
      <w:tr w:rsidR="00337CBD" w:rsidRPr="008E51FF" w14:paraId="2BB90EE7" w14:textId="77777777" w:rsidTr="0067126E">
        <w:trPr>
          <w:trHeight w:val="376"/>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022A435"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Approval Authority </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theme="minorHAnsi"/>
                <w:color w:val="0D0D0D"/>
                <w:sz w:val="20"/>
                <w:szCs w:val="20"/>
              </w:rPr>
              <w:id w:val="81721300"/>
              <w:lock w:val="sdtLocked"/>
              <w:placeholder>
                <w:docPart w:val="3CBC871ECF0A478589BF88CF30710186"/>
              </w:placeholder>
              <w:showingPlcHdr/>
              <w:dropDownList>
                <w:listItem w:displayText="Credit Committee" w:value="Credit Committee"/>
                <w:listItem w:displayText="Management Board" w:value="Management Board"/>
                <w:listItem w:displayText="Supervisory Board" w:value="Supervisory Board"/>
              </w:dropDownList>
            </w:sdtPr>
            <w:sdtContent>
              <w:p w14:paraId="1C024A57" w14:textId="6016BC73" w:rsidR="00337CBD" w:rsidRPr="008E51FF" w:rsidRDefault="0031123B" w:rsidP="00D84191">
                <w:pPr>
                  <w:spacing w:after="0" w:line="240" w:lineRule="auto"/>
                  <w:rPr>
                    <w:rFonts w:cstheme="minorHAnsi"/>
                    <w:color w:val="0D0D0D"/>
                    <w:sz w:val="20"/>
                    <w:szCs w:val="20"/>
                  </w:rPr>
                </w:pPr>
                <w:r w:rsidRPr="00E928F2">
                  <w:rPr>
                    <w:rStyle w:val="PlaceholderText"/>
                  </w:rPr>
                  <w:t>Choose an item.</w:t>
                </w:r>
              </w:p>
            </w:sdtContent>
          </w:sdt>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1EEAB137" w14:textId="646CAC28"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r w:rsidRPr="008E51FF">
              <w:rPr>
                <w:rFonts w:asciiTheme="minorHAnsi" w:eastAsiaTheme="minorHAnsi" w:hAnsiTheme="minorHAnsi" w:cstheme="minorHAnsi"/>
                <w:b/>
                <w:sz w:val="20"/>
                <w:szCs w:val="20"/>
                <w:lang w:val="en-US" w:eastAsia="en-US"/>
              </w:rPr>
              <w:t xml:space="preserve">HQ Consent </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color w:val="0D0D0D"/>
                <w:sz w:val="20"/>
                <w:szCs w:val="20"/>
                <w:lang w:val="en-US"/>
              </w:rPr>
              <w:id w:val="-1629627019"/>
              <w:lock w:val="sdtLocked"/>
              <w:placeholder>
                <w:docPart w:val="DefaultPlaceholder_-1854013438"/>
              </w:placeholder>
              <w:dropDownList>
                <w:listItem w:displayText="Required" w:value="Required"/>
                <w:listItem w:displayText="Not required" w:value="Not required"/>
              </w:dropDownList>
            </w:sdtPr>
            <w:sdtContent>
              <w:p w14:paraId="2C9D5B01" w14:textId="54FA6119" w:rsidR="00337CBD" w:rsidRPr="008E51FF" w:rsidRDefault="0031123B" w:rsidP="00D84191">
                <w:pPr>
                  <w:pStyle w:val="ListParagraph"/>
                  <w:ind w:left="0"/>
                  <w:rPr>
                    <w:rFonts w:asciiTheme="minorHAnsi" w:hAnsiTheme="minorHAnsi" w:cstheme="minorHAnsi"/>
                    <w:color w:val="0D0D0D"/>
                    <w:sz w:val="20"/>
                    <w:szCs w:val="20"/>
                    <w:lang w:val="en-US"/>
                  </w:rPr>
                </w:pPr>
                <w:r>
                  <w:rPr>
                    <w:rFonts w:asciiTheme="minorHAnsi" w:hAnsiTheme="minorHAnsi" w:cstheme="minorHAnsi"/>
                    <w:color w:val="0D0D0D"/>
                    <w:sz w:val="20"/>
                    <w:szCs w:val="20"/>
                    <w:lang w:val="en-US"/>
                  </w:rPr>
                  <w:t>Not required</w:t>
                </w:r>
              </w:p>
            </w:sdtContent>
          </w:sdt>
        </w:tc>
      </w:tr>
    </w:tbl>
    <w:p w14:paraId="47B6BB45" w14:textId="77777777" w:rsidR="00337CBD" w:rsidRDefault="00337CBD" w:rsidP="00A3412D">
      <w:pPr>
        <w:jc w:val="both"/>
        <w:rPr>
          <w:rFonts w:eastAsia="MS Mincho" w:cstheme="minorHAnsi"/>
          <w:b/>
          <w:sz w:val="24"/>
          <w:szCs w:val="24"/>
          <w:lang w:val="en-GB" w:eastAsia="ja-JP"/>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DF19E9" w:rsidRPr="00B527E0" w14:paraId="5632FD08" w14:textId="77777777" w:rsidTr="00660B1B">
        <w:trPr>
          <w:trHeight w:val="361"/>
        </w:trPr>
        <w:tc>
          <w:tcPr>
            <w:tcW w:w="13005" w:type="dxa"/>
            <w:shd w:val="clear" w:color="auto" w:fill="92D050"/>
            <w:vAlign w:val="center"/>
          </w:tcPr>
          <w:p w14:paraId="2EA39FB7" w14:textId="55C5D5A3" w:rsidR="00DF19E9" w:rsidRPr="00044FB7" w:rsidRDefault="00DF19E9" w:rsidP="00660B1B">
            <w:pPr>
              <w:pStyle w:val="Subtitle"/>
              <w:numPr>
                <w:ilvl w:val="0"/>
                <w:numId w:val="3"/>
              </w:numPr>
              <w:spacing w:line="276" w:lineRule="auto"/>
              <w:ind w:left="0"/>
              <w:jc w:val="left"/>
              <w:rPr>
                <w:rFonts w:asciiTheme="minorHAnsi" w:hAnsiTheme="minorHAnsi" w:cstheme="minorHAnsi"/>
                <w:b w:val="0"/>
                <w:bCs w:val="0"/>
                <w:sz w:val="24"/>
                <w:szCs w:val="24"/>
                <w:lang w:val="en-GB"/>
              </w:rPr>
            </w:pPr>
            <w:r>
              <w:rPr>
                <w:rFonts w:asciiTheme="minorHAnsi" w:hAnsiTheme="minorHAnsi" w:cstheme="minorHAnsi"/>
                <w:bCs w:val="0"/>
                <w:sz w:val="24"/>
                <w:szCs w:val="24"/>
                <w:lang w:val="en-GB"/>
              </w:rPr>
              <w:t xml:space="preserve">I </w:t>
            </w:r>
            <w:r w:rsidR="00C4612E">
              <w:rPr>
                <w:rFonts w:asciiTheme="minorHAnsi" w:hAnsiTheme="minorHAnsi" w:cstheme="minorHAnsi"/>
                <w:bCs w:val="0"/>
                <w:sz w:val="24"/>
                <w:szCs w:val="24"/>
                <w:lang w:val="en-GB"/>
              </w:rPr>
              <w:t xml:space="preserve">EXECUTIVE SUMMARY ON CLIENT’S </w:t>
            </w:r>
            <w:r w:rsidR="00C4612E">
              <w:rPr>
                <w:rFonts w:asciiTheme="minorHAnsi" w:hAnsiTheme="minorHAnsi" w:cstheme="minorHAnsi"/>
                <w:bCs w:val="0"/>
                <w:sz w:val="24"/>
                <w:szCs w:val="24"/>
                <w:lang w:val="en-US"/>
              </w:rPr>
              <w:t xml:space="preserve">VERIFICATION </w:t>
            </w:r>
          </w:p>
        </w:tc>
      </w:tr>
    </w:tbl>
    <w:p w14:paraId="796A12A8" w14:textId="77777777" w:rsidR="008A12BD" w:rsidRPr="00E66D67" w:rsidRDefault="00A3412D" w:rsidP="00AB006D">
      <w:pPr>
        <w:spacing w:before="240" w:after="0"/>
        <w:jc w:val="both"/>
        <w:rPr>
          <w:rFonts w:ascii="Calibri" w:hAnsi="Calibri" w:cstheme="minorHAnsi"/>
          <w:i/>
          <w:sz w:val="20"/>
          <w:szCs w:val="20"/>
        </w:rPr>
      </w:pPr>
      <w:r w:rsidRPr="00E66D67">
        <w:rPr>
          <w:rFonts w:ascii="Calibri" w:hAnsi="Calibri" w:cstheme="minorHAnsi"/>
          <w:i/>
          <w:sz w:val="20"/>
          <w:szCs w:val="20"/>
        </w:rPr>
        <w:t>OOO "PRODUCTS WATER" поддерживает отношения с Ipoteka Bank с 2021 года, изначально обслуживаясь через Ташкентский региональный филиал. Клиент находился под управлением Ipoteka Bank до октября 2024 года, после чего обслуживание было передано в National Bank. В период сотрудничества с Ipoteka Bank компания была признана значимым клиентом с положительной кредитной историей и существенным ежемесячным оборотом, превышающим 12,0 млрд UZS.</w:t>
      </w:r>
      <w:r w:rsidR="009C2A93" w:rsidRPr="00E66D67">
        <w:rPr>
          <w:rFonts w:ascii="Calibri" w:hAnsi="Calibri" w:cstheme="minorHAnsi"/>
          <w:i/>
          <w:sz w:val="20"/>
          <w:szCs w:val="20"/>
        </w:rPr>
      </w:r>
      <w:r w:rsidRPr="00E66D67">
        <w:rPr>
          <w:rFonts w:ascii="Calibri" w:hAnsi="Calibri" w:cstheme="minorHAnsi"/>
          <w:i/>
          <w:sz w:val="20"/>
          <w:szCs w:val="20"/>
        </w:rPr>
      </w:r>
    </w:p>
    <w:p>
      <w:r>
        <w:t>Основные банковские отношения включали предоставление кредитных линий. По состоянию на 12 декабря 2025 года рекомендованный и запрошенный кредитный лимит для OOO "PRODUCTS WATER" составлял 1 000 000 USD, при этом общий лимит группы достигал 1 200 000 USD. Основная цель запрашиваемого финансирования — пополнение оборотного капитала. Взаимодействие компании с Ipoteka Bank характеризуется стабильным сотрудничеством и историей своевременного исполнения обязательств, что лежит в основе текущей кредитной рекомендации.</w:t>
      </w:r>
    </w:p>
    <w:p w14:paraId="70DC83C1" w14:textId="247AF788" w:rsidR="008A12BD" w:rsidRPr="00611E94"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Cooperation period: 2021</w:t>
      </w:r>
      <w:r w:rsidR="00A560A5">
        <w:rPr>
          <w:rFonts w:ascii="Calibri" w:hAnsi="Calibri" w:cstheme="minorHAnsi"/>
          <w:b/>
          <w:bCs/>
          <w:i/>
          <w:sz w:val="20"/>
          <w:szCs w:val="20"/>
        </w:rPr>
      </w:r>
      <w:r w:rsidR="00A560A5" w:rsidRPr="00A560A5">
        <w:rPr>
          <w:rFonts w:ascii="Calibri" w:hAnsi="Calibri" w:cstheme="minorHAnsi"/>
          <w:i/>
          <w:sz w:val="20"/>
          <w:szCs w:val="20"/>
        </w:rPr>
      </w:r>
      <w:r w:rsidR="00A560A5">
        <w:rPr>
          <w:rFonts w:ascii="Calibri" w:hAnsi="Calibri" w:cstheme="minorHAnsi"/>
          <w:i/>
          <w:sz w:val="20"/>
          <w:szCs w:val="20"/>
        </w:rPr>
      </w:r>
      <w:r w:rsidR="00187B12">
        <w:rPr>
          <w:rFonts w:ascii="Calibri" w:hAnsi="Calibri" w:cstheme="minorHAnsi"/>
          <w:i/>
          <w:sz w:val="20"/>
          <w:szCs w:val="20"/>
        </w:rPr>
      </w:r>
      <w:r w:rsidR="00A560A5">
        <w:rPr>
          <w:rFonts w:ascii="Calibri" w:hAnsi="Calibri" w:cstheme="minorHAnsi"/>
          <w:b/>
          <w:bCs/>
          <w:i/>
          <w:sz w:val="20"/>
          <w:szCs w:val="20"/>
        </w:rPr>
      </w:r>
      <w:r w:rsidR="00A3412D" w:rsidRPr="00D467A1">
        <w:rPr>
          <w:rFonts w:ascii="Calibri" w:hAnsi="Calibri" w:cstheme="minorHAnsi"/>
          <w:b/>
          <w:bCs/>
          <w:i/>
          <w:sz w:val="20"/>
          <w:szCs w:val="20"/>
        </w:rPr>
      </w:r>
    </w:p>
    <w:p w14:paraId="34D5434D" w14:textId="2281AD61" w:rsidR="008A12BD" w:rsidRPr="00D467A1"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Maximum limit: 1,000,000 USD (14,456,940,000 UZS) dated 12.12.2025</w:t>
      </w:r>
      <w:r w:rsidR="00A3412D" w:rsidRPr="00D467A1">
        <w:rPr>
          <w:rFonts w:ascii="Calibri" w:hAnsi="Calibri" w:cstheme="minorHAnsi"/>
          <w:b/>
          <w:bCs/>
          <w:i/>
          <w:sz w:val="20"/>
          <w:szCs w:val="20"/>
        </w:rPr>
      </w:r>
      <w:r w:rsidRPr="00D467A1">
        <w:rPr>
          <w:rFonts w:ascii="Calibri" w:hAnsi="Calibri" w:cstheme="minorHAnsi"/>
          <w:b/>
          <w:bCs/>
          <w:i/>
          <w:sz w:val="20"/>
          <w:szCs w:val="20"/>
        </w:rPr>
      </w:r>
      <w:r w:rsidR="00A560A5">
        <w:rPr>
          <w:rFonts w:ascii="Calibri" w:hAnsi="Calibri" w:cstheme="minorHAnsi"/>
          <w:b/>
          <w:bCs/>
          <w:i/>
          <w:sz w:val="20"/>
          <w:szCs w:val="20"/>
        </w:rPr>
      </w:r>
      <w:r w:rsidR="00A560A5" w:rsidRPr="00A560A5">
        <w:rPr>
          <w:rFonts w:ascii="Calibri" w:hAnsi="Calibri" w:cstheme="minorHAnsi"/>
          <w:i/>
          <w:sz w:val="20"/>
          <w:szCs w:val="20"/>
        </w:rPr>
      </w:r>
      <w:r w:rsidR="00A3412D" w:rsidRPr="00D467A1">
        <w:rPr>
          <w:rFonts w:ascii="Calibri" w:hAnsi="Calibri" w:cstheme="minorHAnsi"/>
          <w:b/>
          <w:bCs/>
          <w:i/>
          <w:sz w:val="20"/>
          <w:szCs w:val="20"/>
        </w:rPr>
      </w:r>
      <w:r w:rsidR="00A560A5" w:rsidRPr="00A560A5">
        <w:rPr>
          <w:rFonts w:ascii="Calibri" w:hAnsi="Calibri" w:cstheme="minorHAnsi"/>
          <w:i/>
          <w:sz w:val="20"/>
          <w:szCs w:val="20"/>
        </w:rPr>
      </w:r>
      <w:r w:rsidR="00A560A5">
        <w:rPr>
          <w:rFonts w:ascii="Calibri" w:hAnsi="Calibri" w:cstheme="minorHAnsi"/>
          <w:i/>
          <w:sz w:val="20"/>
          <w:szCs w:val="20"/>
        </w:rPr>
      </w:r>
      <w:r w:rsidR="00636DBD">
        <w:rPr>
          <w:rFonts w:ascii="Calibri" w:hAnsi="Calibri" w:cstheme="minorHAnsi"/>
          <w:i/>
          <w:sz w:val="20"/>
          <w:szCs w:val="20"/>
        </w:rPr>
      </w:r>
    </w:p>
    <w:p w14:paraId="7D8884E3" w14:textId="382F0456" w:rsidR="008A12BD" w:rsidRPr="00D467A1"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Bank products used: револьверный кредит на оборотный капитал</w:t>
      </w:r>
      <w:r w:rsidR="00A3412D" w:rsidRPr="00D467A1">
        <w:rPr>
          <w:rFonts w:ascii="Calibri" w:hAnsi="Calibri" w:cstheme="minorHAnsi"/>
          <w:b/>
          <w:bCs/>
          <w:i/>
          <w:sz w:val="20"/>
          <w:szCs w:val="20"/>
        </w:rPr>
      </w:r>
      <w:r w:rsidR="00387132" w:rsidRPr="00D467A1">
        <w:rPr>
          <w:rFonts w:ascii="Calibri" w:hAnsi="Calibri" w:cstheme="minorHAnsi"/>
          <w:b/>
          <w:bCs/>
          <w:i/>
          <w:sz w:val="20"/>
          <w:szCs w:val="20"/>
        </w:rPr>
      </w:r>
      <w:r w:rsidR="00541E4B">
        <w:rPr>
          <w:rFonts w:ascii="Calibri" w:hAnsi="Calibri" w:cstheme="minorHAnsi"/>
          <w:b/>
          <w:bCs/>
          <w:i/>
          <w:sz w:val="20"/>
          <w:szCs w:val="20"/>
        </w:rPr>
      </w:r>
      <w:r w:rsidRPr="00D467A1">
        <w:rPr>
          <w:rFonts w:ascii="Calibri" w:hAnsi="Calibri" w:cstheme="minorHAnsi"/>
          <w:b/>
          <w:bCs/>
          <w:i/>
          <w:sz w:val="20"/>
          <w:szCs w:val="20"/>
        </w:rPr>
      </w:r>
      <w:r w:rsidR="001217EF">
        <w:rPr>
          <w:rFonts w:ascii="Calibri" w:hAnsi="Calibri" w:cstheme="minorHAnsi"/>
          <w:b/>
          <w:bCs/>
          <w:i/>
          <w:sz w:val="20"/>
          <w:szCs w:val="20"/>
        </w:rPr>
      </w:r>
      <w:r w:rsidR="001217EF" w:rsidRPr="001217EF">
        <w:rPr>
          <w:rFonts w:ascii="Calibri" w:hAnsi="Calibri" w:cstheme="minorHAnsi"/>
          <w:i/>
          <w:sz w:val="20"/>
          <w:szCs w:val="20"/>
        </w:rPr>
      </w:r>
    </w:p>
    <w:p w14:paraId="7B90DE42" w14:textId="5206D9F1" w:rsidR="00A3412D" w:rsidRDefault="00D467A1" w:rsidP="007E5CB3">
      <w:pPr>
        <w:spacing w:after="0"/>
        <w:jc w:val="both"/>
        <w:rPr>
          <w:rFonts w:ascii="Calibri" w:hAnsi="Calibri" w:cstheme="minorHAnsi"/>
          <w:i/>
          <w:sz w:val="20"/>
          <w:szCs w:val="20"/>
        </w:rPr>
      </w:pPr>
      <w:r w:rsidRPr="00D467A1">
        <w:rPr>
          <w:rFonts w:ascii="Calibri" w:hAnsi="Calibri" w:cstheme="minorHAnsi"/>
          <w:b/>
          <w:bCs/>
          <w:i/>
          <w:sz w:val="20"/>
          <w:szCs w:val="20"/>
        </w:rPr>
        <w:t>Стратегическая важность банка для Products Water подчеркивается намерением клиента диверсифицировать банковские отношения и повысить операционную гибкость. В настоящее время Products Water ведет свой основной расчетный счет в другом банке, однако обязуется открыть дополнительный счет в Юнусабадском филиале Ipoteka Bank после одобрения предлагаемого кредитного лимита. Этот шаг демонстрирует готовность клиента углубить сотрудничество с Ipoteka Bank, что дополнительно подтверждается значительным ежемесячным оборотом компании, превышающим 12,0 млрд UZS.</w:t>
      </w:r>
      <w:r w:rsidR="00A3412D" w:rsidRPr="00D467A1">
        <w:rPr>
          <w:rFonts w:ascii="Calibri" w:hAnsi="Calibri" w:cstheme="minorHAnsi"/>
          <w:b/>
          <w:bCs/>
          <w:i/>
          <w:sz w:val="20"/>
          <w:szCs w:val="20"/>
        </w:rPr>
      </w:r>
      <w:r w:rsidRPr="00D467A1">
        <w:rPr>
          <w:rFonts w:ascii="Calibri" w:hAnsi="Calibri" w:cstheme="minorHAnsi"/>
          <w:b/>
          <w:bCs/>
          <w:i/>
          <w:sz w:val="20"/>
          <w:szCs w:val="20"/>
        </w:rPr>
      </w:r>
      <w:r>
        <w:rPr>
          <w:rFonts w:ascii="Calibri" w:hAnsi="Calibri" w:cstheme="minorHAnsi"/>
          <w:i/>
          <w:sz w:val="20"/>
          <w:szCs w:val="20"/>
        </w:rPr>
      </w:r>
      <w:r w:rsidR="002C1100">
        <w:rPr>
          <w:rFonts w:ascii="Calibri" w:hAnsi="Calibri" w:cstheme="minorHAnsi"/>
          <w:i/>
          <w:sz w:val="20"/>
          <w:szCs w:val="20"/>
        </w:rPr>
      </w:r>
      <w:r w:rsidR="003F2F65">
        <w:rPr>
          <w:rFonts w:ascii="Calibri" w:hAnsi="Calibri" w:cstheme="minorHAnsi"/>
          <w:i/>
          <w:sz w:val="20"/>
          <w:szCs w:val="20"/>
        </w:rPr>
      </w:r>
    </w:p>
    <w:p>
      <w:r>
        <w:t>Обоснование одобрения лимита прочно основано на сильном кредитном профиле клиента и положительной кредитной истории. Products Water классифицируется как клиент первого класса согласно внутренней рейтинговой системе банка и полностью соответствует требованиям кредитной политики. Запрашиваемый возобновляемый кредитный лимит в размере 1 000 000 USD предназначен для финансирования потребностей в оборотном капитале, поддерживая текущую деятельность компании и ее дальнейший рост. Клиент имеет положительный опыт сотрудничества с Ipoteka Bank, ранее обслуживаясь в Ташкентском региональном филиале, и в настоящее время стремится восстановить и расширить эти отношения. Учитывая масштаб деятельности клиента, устойчивое финансовое положение и стратегическое намерение увеличить объем банковских операций с Ipoteka Bank, одобрение предлагаемого лимита является как коммерчески обоснованным, так и соответствующим целям развития бизнеса банка.</w:t>
      </w:r>
    </w:p>
    <w:p w14:paraId="7FAB84EE" w14:textId="7EC616C7" w:rsidR="00A3412D" w:rsidRDefault="00A3412D" w:rsidP="00FB3919">
      <w:pPr>
        <w:spacing w:after="0"/>
        <w:contextualSpacing/>
        <w:jc w:val="both"/>
        <w:rPr>
          <w:rFonts w:ascii="Calibri" w:hAnsi="Calibri" w:cstheme="minorHAnsi"/>
          <w:i/>
          <w:sz w:val="20"/>
          <w:szCs w:val="20"/>
        </w:rPr>
      </w:pPr>
      <w:r w:rsidRPr="00F66D99">
        <w:rPr>
          <w:rFonts w:ascii="Calibri" w:hAnsi="Calibri" w:cstheme="minorHAnsi"/>
          <w:b/>
          <w:bCs/>
          <w:i/>
          <w:sz w:val="20"/>
          <w:szCs w:val="20"/>
        </w:rPr>
        <w:t>За последние 12 месяцев основное кредитное решение в отношении ООО "PRODUCTS WATER" касалось рассмотрения и одобрения заявки на возобновляемый кредитный лимит в размере USD 1,000,000 со сроком на 36 месяцев. Каждый выбор средств в рамках данной кредитной линии структурирован на 12-месячный период, при этом погашение осуществляется равными частями в течение последних трех месяцев каждого цикла. Кредитная линия была одобрена по ставке 10% годовых, после того как клиент изначально запросил ставку 9%; окончательные условия были установлены в соответствии с внутренней перепиской банка от 25.11.2025.</w:t>
      </w:r>
      <w:r w:rsidR="00F66D99" w:rsidRPr="00F66D99">
        <w:rPr>
          <w:rFonts w:ascii="Calibri" w:hAnsi="Calibri" w:cstheme="minorHAnsi"/>
          <w:b/>
          <w:bCs/>
          <w:i/>
          <w:sz w:val="20"/>
          <w:szCs w:val="20"/>
        </w:rPr>
      </w:r>
      <w:r w:rsidRPr="00F66D99">
        <w:rPr>
          <w:rFonts w:ascii="Calibri" w:hAnsi="Calibri" w:cstheme="minorHAnsi"/>
          <w:b/>
          <w:bCs/>
          <w:i/>
          <w:sz w:val="20"/>
          <w:szCs w:val="20"/>
        </w:rPr>
      </w:r>
      <w:r>
        <w:rPr>
          <w:rFonts w:ascii="Calibri" w:hAnsi="Calibri" w:cstheme="minorHAnsi"/>
          <w:i/>
          <w:sz w:val="20"/>
          <w:szCs w:val="20"/>
        </w:rPr>
      </w:r>
      <w:r w:rsidR="00541E4B">
        <w:rPr>
          <w:rFonts w:ascii="Calibri" w:hAnsi="Calibri" w:cstheme="minorHAnsi"/>
          <w:i/>
          <w:sz w:val="20"/>
          <w:szCs w:val="20"/>
        </w:rPr>
      </w:r>
      <w:r>
        <w:rPr>
          <w:rFonts w:ascii="Calibri" w:hAnsi="Calibri" w:cstheme="minorHAnsi"/>
          <w:i/>
          <w:sz w:val="20"/>
          <w:szCs w:val="20"/>
        </w:rPr>
      </w:r>
    </w:p>
    <w:p>
      <w:r>
        <w:t>Решение кредитного комитета было основано на значительном бизнес-профиле клиента, положительной кредитной истории и соответствии внутренним требованиям кредитной политики, включая высший внутренний рейтинг и достаточное обеспечение. Одобрение было обусловлено открытием клиентом дополнительного счета в филиале Юнусабад АО "Ипотека Банк", на что клиент согласился после положительного кредитного решения. В настоящее время осуществляется постоянный контроль за соблюдением согласованных условий и требований мониторинга, нарушений или задержек в исполнении по последней проверке не выявлено.</w:t>
      </w:r>
    </w:p>
    <w:p w14:paraId="7217A182" w14:textId="5251251B" w:rsidR="00A3412D" w:rsidRDefault="00D95236" w:rsidP="00FB3919">
      <w:pPr>
        <w:spacing w:after="0"/>
        <w:contextualSpacing/>
        <w:jc w:val="both"/>
        <w:rPr>
          <w:rFonts w:ascii="Calibri" w:hAnsi="Calibri" w:cstheme="minorHAnsi"/>
          <w:i/>
          <w:sz w:val="20"/>
          <w:szCs w:val="20"/>
        </w:rPr>
      </w:pPr>
      <w:r w:rsidRPr="00D95236">
        <w:rPr>
          <w:rFonts w:ascii="Calibri" w:hAnsi="Calibri" w:cstheme="minorHAnsi"/>
          <w:b/>
          <w:bCs/>
          <w:i/>
          <w:sz w:val="20"/>
          <w:szCs w:val="20"/>
        </w:rPr>
        <w:t>В ходе проведения кредитного анализа не было выявлено предоставления каких-либо waivers, нарушений covenant или внесения изменений. Документация и оценки рисков не указывают на случаи нарушения covenant или необходимость предоставления waivers. Кроме того, отсутствуют свидетельства проведения реструктуризации, продлений или корректировок исходных условий кредита. Соблюдение заемщиком контрактных обязательств остается на должном уровне, и в течение рассматриваемого периода не требовалось принятия корректирующих мер или внесения изменений.</w:t>
      </w:r>
      <w:r w:rsidR="00A3412D" w:rsidRPr="00D95236">
        <w:rPr>
          <w:rFonts w:ascii="Calibri" w:hAnsi="Calibri" w:cstheme="minorHAnsi"/>
          <w:b/>
          <w:bCs/>
          <w:i/>
          <w:sz w:val="20"/>
          <w:szCs w:val="20"/>
        </w:rPr>
      </w:r>
      <w:r w:rsidR="00A3412D">
        <w:rPr>
          <w:rFonts w:ascii="Calibri" w:hAnsi="Calibri" w:cstheme="minorHAnsi"/>
          <w:i/>
          <w:sz w:val="20"/>
          <w:szCs w:val="20"/>
        </w:rPr>
      </w:r>
    </w:p>
    <w:p w14:paraId="0F9BEC98" w14:textId="7A0FCF90" w:rsidR="00A3412D" w:rsidRDefault="009104EF" w:rsidP="00FB3919">
      <w:pPr>
        <w:pStyle w:val="Subtitle"/>
        <w:spacing w:line="276" w:lineRule="auto"/>
        <w:ind w:left="0"/>
        <w:jc w:val="both"/>
        <w:rPr>
          <w:rFonts w:asciiTheme="minorHAnsi" w:hAnsiTheme="minorHAnsi" w:cstheme="minorHAnsi"/>
          <w:b w:val="0"/>
          <w:bCs w:val="0"/>
          <w:i/>
          <w:sz w:val="20"/>
          <w:szCs w:val="20"/>
          <w:lang w:val="en-GB"/>
        </w:rPr>
      </w:pPr>
      <w:r w:rsidRPr="009104EF">
        <w:rPr>
          <w:rFonts w:asciiTheme="minorHAnsi" w:hAnsiTheme="minorHAnsi" w:cstheme="minorHAnsi"/>
          <w:i/>
          <w:sz w:val="20"/>
          <w:szCs w:val="20"/>
          <w:lang w:val="en-GB"/>
        </w:rPr>
        <w:t>Текущий кредитный запрос от LLC "PRODUCTS WATER" касается возобновляемой кредитной линии в размере USD 1,000,000. Заявленная цель предоставления кредитной линии — пополнение оборотного капитала компании для поддержки текущих операционных потребностей. Предлагаемый срок составляет 36 месяцев, структура — возобновляемая кредитная линия, при этом каждый транш может быть использован в течение до 12 месяцев, а погашение осуществляется равными долями в течение последних трех месяцев каждого периода использования.</w:t>
      </w:r>
      <w:r w:rsidR="00A3412D" w:rsidRPr="009104EF">
        <w:rPr>
          <w:rFonts w:asciiTheme="minorHAnsi" w:hAnsiTheme="minorHAnsi" w:cstheme="minorHAnsi"/>
          <w:i/>
          <w:sz w:val="20"/>
          <w:szCs w:val="20"/>
          <w:lang w:val="en-GB"/>
        </w:rPr>
      </w:r>
      <w:r w:rsidR="00A3412D">
        <w:rPr>
          <w:rFonts w:asciiTheme="minorHAnsi" w:hAnsiTheme="minorHAnsi" w:cstheme="minorHAnsi"/>
          <w:b w:val="0"/>
          <w:bCs w:val="0"/>
          <w:i/>
          <w:sz w:val="20"/>
          <w:szCs w:val="20"/>
          <w:lang w:val="en-GB"/>
        </w:rPr>
      </w:r>
    </w:p>
    <w:p>
      <w:r>
        <w:t>Процентная ставка по кредитной линии установлена на уровне 10% годовых после внутреннего одобрения, несмотря на изначальный запрос клиента на ставку 9%. Льготные периоды и специальные комиссионные платежи не предусмотрены. Кредитная линия будет профинансирована за счет собственных средств банка. Дополнительные специальные условия, помимо стандартного мониторинга и финансовых ковенант, применяемых к подобным сделкам, не указаны.</w:t>
      </w:r>
    </w:p>
    <w:p w14:paraId="5C46B9CF" w14:textId="77777777" w:rsidR="00680D55" w:rsidRDefault="00680D55" w:rsidP="00680D55">
      <w:pPr>
        <w:pStyle w:val="Subtitle"/>
        <w:spacing w:line="276" w:lineRule="auto"/>
        <w:ind w:left="0"/>
        <w:jc w:val="both"/>
        <w:rPr>
          <w:rFonts w:asciiTheme="minorHAnsi" w:hAnsiTheme="minorHAnsi" w:cstheme="minorHAnsi"/>
          <w:b w:val="0"/>
          <w:bCs w:val="0"/>
          <w:i/>
          <w:sz w:val="20"/>
          <w:szCs w:val="20"/>
          <w:lang w:val="en-GB"/>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680D55" w:rsidRPr="00B527E0" w14:paraId="2FF50122" w14:textId="77777777" w:rsidTr="0079496A">
        <w:trPr>
          <w:trHeight w:val="361"/>
        </w:trPr>
        <w:tc>
          <w:tcPr>
            <w:tcW w:w="13005" w:type="dxa"/>
            <w:shd w:val="clear" w:color="auto" w:fill="92D050"/>
            <w:vAlign w:val="center"/>
          </w:tcPr>
          <w:p w14:paraId="25076513" w14:textId="77777777" w:rsidR="00327A9D" w:rsidRPr="004F3793" w:rsidRDefault="00621613" w:rsidP="00527BDB">
            <w:pPr>
              <w:pStyle w:val="Subtitle"/>
              <w:numPr>
                <w:ilvl w:val="0"/>
                <w:numId w:val="3"/>
              </w:numPr>
              <w:spacing w:line="276" w:lineRule="auto"/>
              <w:ind w:left="0"/>
              <w:jc w:val="left"/>
              <w:rPr>
                <w:rFonts w:asciiTheme="minorHAnsi" w:hAnsiTheme="minorHAnsi" w:cstheme="minorHAnsi"/>
                <w:b w:val="0"/>
                <w:bCs w:val="0"/>
                <w:sz w:val="24"/>
                <w:szCs w:val="24"/>
                <w:lang w:val="en-GB"/>
              </w:rPr>
            </w:pPr>
            <w:bookmarkStart w:id="0" w:name="_Hlk162255503"/>
            <w:r>
              <w:rPr>
                <w:rFonts w:asciiTheme="minorHAnsi" w:hAnsiTheme="minorHAnsi" w:cstheme="minorHAnsi"/>
                <w:bCs w:val="0"/>
                <w:sz w:val="24"/>
                <w:szCs w:val="24"/>
                <w:lang w:val="en-GB"/>
              </w:rPr>
              <w:t>II RISK</w:t>
            </w:r>
            <w:r w:rsidR="00680D55">
              <w:rPr>
                <w:rFonts w:asciiTheme="minorHAnsi" w:hAnsiTheme="minorHAnsi" w:cstheme="minorHAnsi"/>
                <w:bCs w:val="0"/>
                <w:sz w:val="24"/>
                <w:szCs w:val="24"/>
                <w:lang w:val="en-GB"/>
              </w:rPr>
              <w:t xml:space="preserve"> ASSESSMENT</w:t>
            </w:r>
            <w:r w:rsidR="00664DA4">
              <w:rPr>
                <w:rFonts w:asciiTheme="minorHAnsi" w:hAnsiTheme="minorHAnsi" w:cstheme="minorHAnsi"/>
                <w:bCs w:val="0"/>
                <w:sz w:val="24"/>
                <w:szCs w:val="24"/>
                <w:lang w:val="en-GB"/>
              </w:rPr>
              <w:t xml:space="preserve"> (4-5 sentences</w:t>
            </w:r>
            <w:r w:rsidR="00C42B93">
              <w:rPr>
                <w:rFonts w:asciiTheme="minorHAnsi" w:hAnsiTheme="minorHAnsi" w:cstheme="minorHAnsi"/>
                <w:bCs w:val="0"/>
                <w:sz w:val="24"/>
                <w:szCs w:val="24"/>
                <w:lang w:val="en-GB"/>
              </w:rPr>
              <w:t xml:space="preserve"> in each section</w:t>
            </w:r>
            <w:r w:rsidR="00664DA4">
              <w:rPr>
                <w:rFonts w:asciiTheme="minorHAnsi" w:hAnsiTheme="minorHAnsi" w:cstheme="minorHAnsi"/>
                <w:bCs w:val="0"/>
                <w:sz w:val="24"/>
                <w:szCs w:val="24"/>
                <w:lang w:val="en-GB"/>
              </w:rPr>
              <w:t>)</w:t>
            </w:r>
          </w:p>
          <w:p w14:paraId="20531FBB" w14:textId="2CB9F220" w:rsidR="004F3793" w:rsidRPr="004F3793" w:rsidRDefault="004F3793" w:rsidP="004F3793">
            <w:pPr>
              <w:rPr>
                <w:lang w:val="en-GB" w:eastAsia="ja-JP"/>
              </w:rPr>
            </w:pPr>
          </w:p>
        </w:tc>
      </w:tr>
    </w:tbl>
    <w:bookmarkEnd w:id="0"/>
    <w:p w14:paraId="04A8D34D" w14:textId="375563FC" w:rsidR="00C4520B" w:rsidRDefault="00263CFC" w:rsidP="00C213D4">
      <w:pPr>
        <w:pStyle w:val="Subtitle"/>
        <w:spacing w:before="240" w:line="276" w:lineRule="auto"/>
        <w:ind w:left="0"/>
        <w:jc w:val="both"/>
        <w:rPr>
          <w:rFonts w:asciiTheme="minorHAnsi" w:hAnsiTheme="minorHAnsi" w:cstheme="minorHAnsi"/>
          <w:b w:val="0"/>
          <w:bCs w:val="0"/>
          <w:i/>
          <w:sz w:val="20"/>
          <w:szCs w:val="20"/>
          <w:lang w:val="en-GB"/>
        </w:rPr>
      </w:pPr>
      <w:r w:rsidRPr="004F1AFE">
        <w:rPr>
          <w:rFonts w:asciiTheme="minorHAnsi" w:hAnsiTheme="minorHAnsi" w:cstheme="minorHAnsi"/>
          <w:bCs w:val="0"/>
          <w:sz w:val="20"/>
          <w:szCs w:val="20"/>
        </w:rPr>
        <w:lastRenderedPageBreak/>
        <w:t>Risk factors for the client</w:t>
      </w:r>
      <w:r w:rsidR="00C4520B">
        <w:rPr>
          <w:rFonts w:ascii="Calibri" w:hAnsi="Calibri" w:cstheme="minorHAnsi"/>
          <w:bCs w:val="0"/>
          <w:sz w:val="20"/>
          <w:szCs w:val="20"/>
          <w:lang w:val="en-US"/>
        </w:rPr>
        <w:t>:</w:t>
      </w:r>
    </w:p>
    <w:p w14:paraId="5E334F6D" w14:textId="0FEF3A2D" w:rsidR="007F1334" w:rsidRPr="00A6113C" w:rsidRDefault="007F1334" w:rsidP="007F1334">
      <w:pPr>
        <w:pStyle w:val="Subtitle"/>
        <w:ind w:left="0"/>
        <w:jc w:val="both"/>
        <w:rPr>
          <w:rFonts w:ascii="Calibri" w:hAnsi="Calibri" w:cstheme="minorHAnsi"/>
          <w:bCs w:val="0"/>
          <w:sz w:val="20"/>
          <w:szCs w:val="20"/>
          <w:lang w:val="en-US"/>
        </w:rPr>
      </w:pPr>
      <w:r w:rsidRPr="00A6113C">
        <w:rPr>
          <w:rFonts w:ascii="Calibri" w:hAnsi="Calibri" w:cstheme="minorHAnsi"/>
          <w:bCs w:val="0"/>
          <w:sz w:val="20"/>
          <w:szCs w:val="20"/>
          <w:lang w:val="en-US"/>
        </w:rPr>
        <w:t>Owner risk → может</w:t>
      </w:r>
      <w:r w:rsidR="00A31317">
        <w:rPr>
          <w:rFonts w:ascii="Calibri" w:hAnsi="Calibri" w:cstheme="minorHAnsi"/>
          <w:bCs w:val="0"/>
          <w:sz w:val="20"/>
          <w:szCs w:val="20"/>
          <w:lang w:val="en-US"/>
        </w:rPr>
      </w:r>
      <w:r w:rsidRPr="00A6113C">
        <w:rPr>
          <w:rFonts w:ascii="Calibri" w:hAnsi="Calibri" w:cstheme="minorHAnsi"/>
          <w:bCs w:val="0"/>
          <w:sz w:val="20"/>
          <w:szCs w:val="20"/>
          <w:lang w:val="en-US"/>
        </w:rPr>
      </w:r>
      <w:r w:rsidR="00C55BB1" w:rsidRPr="00C55BB1">
        <w:rPr>
          <w:rFonts w:ascii="Calibri" w:hAnsi="Calibri" w:cstheme="minorHAnsi"/>
          <w:bCs w:val="0"/>
          <w:sz w:val="20"/>
          <w:szCs w:val="20"/>
          <w:lang w:val="en-US"/>
        </w:rPr>
      </w:r>
      <w:sdt>
        <w:sdtPr>
          <w:rPr>
            <w:rFonts w:ascii="Calibri" w:hAnsi="Calibri" w:cstheme="minorHAnsi"/>
            <w:bCs w:val="0"/>
            <w:sz w:val="20"/>
            <w:szCs w:val="20"/>
            <w:lang w:val="en-US"/>
          </w:rPr>
          <w:id w:val="1324003340"/>
          <w:lock w:val="sdtLocked"/>
          <w:placeholder>
            <w:docPart w:val="576B6556CEEB43408B0F0F4E71BD48BC"/>
          </w:placeholder>
          <w:dropDownList>
            <w:listItem w:displayText="Low" w:value="Low"/>
            <w:listItem w:displayText="Moderate" w:value="Moderate"/>
            <w:listItem w:displayText="High" w:value="High"/>
          </w:dropDownList>
        </w:sdtPr>
        <w:sdtContent>
          <w:r w:rsidR="00C55BB1">
            <w:rPr>
              <w:rFonts w:ascii="Calibri" w:hAnsi="Calibri" w:cstheme="minorHAnsi"/>
              <w:bCs w:val="0"/>
              <w:sz w:val="20"/>
              <w:szCs w:val="20"/>
              <w:lang w:val="en-US"/>
            </w:rPr>
            <w:t>Low</w:t>
          </w:r>
        </w:sdtContent>
      </w:sdt>
      <w:r w:rsidRPr="00A6113C">
        <w:rPr>
          <w:rFonts w:ascii="Calibri" w:hAnsi="Calibri" w:cstheme="minorHAnsi"/>
          <w:bCs w:val="0"/>
          <w:sz w:val="20"/>
          <w:szCs w:val="20"/>
          <w:lang w:val="en-US"/>
        </w:rPr>
      </w:r>
    </w:p>
    <w:p w14:paraId="717AEE6C" w14:textId="16254474" w:rsidR="007F1334" w:rsidRDefault="007F1334" w:rsidP="007F1334">
      <w:pPr>
        <w:pStyle w:val="Subtitle"/>
        <w:ind w:left="0"/>
        <w:jc w:val="both"/>
        <w:rPr>
          <w:rFonts w:ascii="Calibri" w:hAnsi="Calibri" w:cstheme="minorHAnsi"/>
          <w:b w:val="0"/>
          <w:bCs w:val="0"/>
          <w:i/>
          <w:sz w:val="20"/>
          <w:szCs w:val="20"/>
          <w:lang w:val="en-US"/>
        </w:rPr>
      </w:pPr>
      <w:r w:rsidRPr="00A6113C">
        <w:rPr>
          <w:rFonts w:ascii="Calibri" w:hAnsi="Calibri" w:cstheme="minorHAnsi"/>
          <w:b w:val="0"/>
          <w:bCs w:val="0"/>
          <w:i/>
          <w:sz w:val="20"/>
          <w:szCs w:val="20"/>
          <w:lang w:val="en-US"/>
        </w:rPr>
        <w:t>Компания является частной собственностью, с двумя основателями — Anvarov Otabek Farxod o’g’li и Fozilov Jaxongir Faxridin o’g’li, каждый из которых владеет 50% долей в уставном капитале. Бенефициарное владение прозрачно, отсутствуют признаки номинальных или непрозрачных структур. Директор, Badalov Dilshod Hikmatullaevich, был назначен в августе 2024 года, и с тех пор не было изменений в руководстве или признаков недоверия к владельцам или менеджменту, что свидетельствует о стабильности и преемственности в управлении. Примечательно, что Anvarov Otabek Farxod o’g’li участвует и в других бизнес-проектах, включая значительные доли в аффилированных компаниях, таких как ООО XALQAROIT Mediasity Ani rivojlantirish ittifoqi (90%) и ООО «ALOY ELIT» (50%), что может создавать как возможности для синергии, так и потенциальные риски зависимости от ключевого лица или конфликта интересов. Однако на данный момент отсутствуют признаки чрезмерной концентрации рисков или негативного влияния со стороны этих внешних бизнес-интересов.</w:t>
      </w:r>
      <w:r w:rsidR="003A5AF6">
        <w:rPr>
          <w:rFonts w:ascii="Calibri" w:hAnsi="Calibri" w:cstheme="minorHAnsi"/>
          <w:b w:val="0"/>
          <w:bCs w:val="0"/>
          <w:i/>
          <w:sz w:val="20"/>
          <w:szCs w:val="20"/>
          <w:lang w:val="en-US"/>
        </w:rPr>
      </w:r>
      <w:r w:rsidR="003A63AE">
        <w:rPr>
          <w:rFonts w:ascii="Calibri" w:hAnsi="Calibri" w:cstheme="minorHAnsi"/>
          <w:b w:val="0"/>
          <w:bCs w:val="0"/>
          <w:i/>
          <w:sz w:val="20"/>
          <w:szCs w:val="20"/>
          <w:lang w:val="en-US"/>
        </w:rPr>
      </w:r>
      <w:r w:rsidR="003A5AF6">
        <w:rPr>
          <w:rFonts w:ascii="Calibri" w:hAnsi="Calibri" w:cstheme="minorHAnsi"/>
          <w:b w:val="0"/>
          <w:bCs w:val="0"/>
          <w:i/>
          <w:sz w:val="20"/>
          <w:szCs w:val="20"/>
          <w:lang w:val="en-US"/>
        </w:rPr>
      </w:r>
    </w:p>
    <w:p w14:paraId="4E8A6388" w14:textId="1869F9D0" w:rsidR="00387772" w:rsidRPr="003A5AF6" w:rsidRDefault="00A53546" w:rsidP="007F1334">
      <w:pPr>
        <w:pStyle w:val="Subtitle"/>
        <w:ind w:left="0"/>
        <w:jc w:val="both"/>
        <w:rPr>
          <w:rFonts w:ascii="Calibri" w:hAnsi="Calibri" w:cstheme="minorHAnsi"/>
          <w:i/>
          <w:sz w:val="20"/>
          <w:szCs w:val="20"/>
          <w:lang w:val="en-US"/>
        </w:rPr>
      </w:pPr>
      <w:r w:rsidRPr="003A5AF6">
        <w:rPr>
          <w:rFonts w:ascii="Calibri" w:hAnsi="Calibri" w:cstheme="minorHAnsi"/>
          <w:i/>
          <w:sz w:val="20"/>
          <w:szCs w:val="20"/>
          <w:lang w:val="en-US"/>
        </w:rPr>
        <w:t>Компания является частной собственностью, с двумя основателями — Anvarov Otabek Farxod o’g’li и Fozilov Jaxongir Faxridin o’g’li, каждый из которых владеет 50% долей в уставном капитале. Оба лица являются гражданами Узбекистана, и имеются подтверждения того, что Anvarov Otabek Farxod o’g’li является активным предпринимателем, участвующим в других предприятиях, что свидетельствует о широком бизнес-опыте и вовлеченности в коммерческую деятельность.</w:t>
      </w:r>
      <w:r w:rsidR="00387772" w:rsidRPr="003A5AF6">
        <w:rPr>
          <w:rFonts w:ascii="Calibri" w:hAnsi="Calibri" w:cstheme="minorHAnsi"/>
          <w:i/>
          <w:sz w:val="20"/>
          <w:szCs w:val="20"/>
          <w:lang w:val="en-US"/>
        </w:rPr>
      </w:r>
      <w:r w:rsidR="004D4F2A">
        <w:rPr>
          <w:rFonts w:ascii="Calibri" w:hAnsi="Calibri" w:cstheme="minorHAnsi"/>
          <w:i/>
          <w:sz w:val="20"/>
          <w:szCs w:val="20"/>
          <w:lang w:val="en-US"/>
        </w:rPr>
      </w:r>
      <w:r w:rsidR="001B2F0B" w:rsidRPr="003A5AF6">
        <w:rPr>
          <w:rFonts w:ascii="Calibri" w:hAnsi="Calibri" w:cstheme="minorHAnsi"/>
          <w:i/>
          <w:sz w:val="20"/>
          <w:szCs w:val="20"/>
          <w:lang w:val="en-US"/>
        </w:rPr>
      </w:r>
    </w:p>
    <w:p>
      <w:r>
        <w:t>Действующим директором является Badalov Dilshod Hikmatullaevich, назначенный приказом №03 от 01.08.2024. Нет признаков недавней смены руководства или нестабильности, что подтверждается отсутствием изменений директора за последние 12 месяцев. Нет свидетельств пересечения между владельцами и текущим руководством, поскольку ни один из основателей не занимает управленческих должностей в компании. Такое разделение собственности и управления снижает потенциальные риски корпоративного управления, связанные с концентрацией контроля.</w:t>
      </w:r>
    </w:p>
    <w:p>
      <w:r>
        <w:t>Компания демонстрирует стабильную структуру собственности и пользуется преимуществами опытных заинтересованных сторон, при этом не зафиксировано проблем недоверия или конфликтов между владельцами и руководством. Данный профиль способствует уверенности в корпоративном управлении и операционной устойчивости компании.</w:t>
      </w:r>
    </w:p>
    <w:p w14:paraId="6A7373C4" w14:textId="77777777" w:rsidR="002E4CDB" w:rsidRDefault="002E4CDB" w:rsidP="002E4CDB">
      <w:pPr>
        <w:pStyle w:val="CommentText"/>
        <w:jc w:val="both"/>
        <w:rPr>
          <w:rFonts w:ascii="Calibri" w:hAnsi="Calibri"/>
          <w:i/>
        </w:rPr>
      </w:pPr>
    </w:p>
    <w:p w14:paraId="77B39F1C" w14:textId="77777777" w:rsidR="002B62EA" w:rsidRDefault="002B62EA" w:rsidP="002E4CDB">
      <w:pPr>
        <w:pStyle w:val="CommentText"/>
        <w:jc w:val="both"/>
        <w:rPr>
          <w:rFonts w:ascii="Calibri" w:hAnsi="Calibri"/>
          <w:i/>
        </w:rPr>
      </w:pPr>
    </w:p>
    <w:p w14:paraId="33A4DE7D" w14:textId="77777777" w:rsidR="002B62EA" w:rsidRDefault="002B62EA" w:rsidP="002E4CDB">
      <w:pPr>
        <w:pStyle w:val="CommentText"/>
        <w:jc w:val="both"/>
        <w:rPr>
          <w:rFonts w:ascii="Calibri" w:hAnsi="Calibri"/>
          <w:i/>
        </w:rPr>
      </w:pPr>
    </w:p>
    <w:p w14:paraId="0CAF704C" w14:textId="77777777" w:rsidR="002B62EA" w:rsidRPr="00A6113C" w:rsidRDefault="002B62EA" w:rsidP="002E4CDB">
      <w:pPr>
        <w:pStyle w:val="CommentText"/>
        <w:jc w:val="both"/>
        <w:rPr>
          <w:rFonts w:ascii="Calibri" w:hAnsi="Calibri"/>
          <w:i/>
        </w:rPr>
      </w:pPr>
    </w:p>
    <w:p w14:paraId="6A2D1D1D" w14:textId="2E8AD613" w:rsidR="002E4CDB" w:rsidRPr="00A6113C" w:rsidRDefault="002E4CDB" w:rsidP="002E4CDB">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Management risk → одобрить</w:t>
      </w:r>
      <w:r w:rsidRPr="00A6113C">
        <w:rPr>
          <w:rFonts w:ascii="Calibri" w:hAnsi="Calibri" w:cstheme="minorHAnsi"/>
          <w:b/>
          <w:bCs/>
          <w:sz w:val="20"/>
          <w:szCs w:val="20"/>
        </w:rPr>
      </w:r>
      <w:sdt>
        <w:sdtPr>
          <w:rPr>
            <w:rFonts w:ascii="Calibri" w:hAnsi="Calibri" w:cstheme="minorHAnsi"/>
            <w:b/>
            <w:bCs/>
            <w:sz w:val="20"/>
            <w:szCs w:val="20"/>
          </w:rPr>
          <w:id w:val="1200592430"/>
          <w:lock w:val="sdtLocked"/>
          <w:placeholder>
            <w:docPart w:val="DefaultPlaceholder_-1854013438"/>
          </w:placeholder>
          <w:dropDownList>
            <w:listItem w:displayText="Low" w:value="Low"/>
            <w:listItem w:displayText="Moderate" w:value="Moderate"/>
            <w:listItem w:displayText="High" w:value="High"/>
          </w:dropDownList>
        </w:sdtPr>
        <w:sdtContent>
          <w:r w:rsidR="00C55BB1">
            <w:rPr>
              <w:rFonts w:ascii="Calibri" w:hAnsi="Calibri" w:cstheme="minorHAnsi"/>
              <w:b/>
              <w:bCs/>
              <w:sz w:val="20"/>
              <w:szCs w:val="20"/>
            </w:rPr>
            <w:t>Low</w:t>
          </w:r>
        </w:sdtContent>
      </w:sdt>
    </w:p>
    <w:p w14:paraId="5FC2C57D" w14:textId="4173B9AC" w:rsidR="002E4CDB" w:rsidRDefault="002E4CDB" w:rsidP="002E4CDB">
      <w:pPr>
        <w:pStyle w:val="CommentText"/>
        <w:jc w:val="both"/>
        <w:rPr>
          <w:rFonts w:ascii="Calibri" w:hAnsi="Calibri"/>
          <w:i/>
        </w:rPr>
      </w:pPr>
      <w:r>
        <w:t>Руководство PRODUCTS WATER демонстрирует высокий уровень стабильности: за последние 12 месяцев изменений в исполнительном руководстве не происходило. Эта преемственность дополнительно подтверждается отсутствием сообщений о недоверии к основателю или текущему менеджменту, что свидетельствует о стабильной среде корпоративного управления. Действующий директор, Rayimov Mirjalol Jasur O'g'li, одновременно занимает должность главного бухгалтера, что может привести к концентрации полномочий и потенциальному риску «one-man-show». Тем не менее, нет свидетельств нарушений комплаенса или регуляторных требований со стороны руководства, а компания демонстрирует удовлетворительную операционную историю. Хотя совмещение директором двух ролей может создавать риски преемственности в случае непредвиденных обстоятельств, общий профиль управленческого риска остается умеренным благодаря операционной стабильности и соблюдению регуляторных требований.</w:t>
      </w:r>
    </w:p>
    <w:p w14:paraId="0FE510B9" w14:textId="77777777" w:rsidR="002B62EA" w:rsidRPr="00A6113C" w:rsidRDefault="002B62EA" w:rsidP="002E4CDB">
      <w:pPr>
        <w:pStyle w:val="CommentText"/>
        <w:jc w:val="both"/>
        <w:rPr>
          <w:rFonts w:ascii="Calibri" w:hAnsi="Calibri"/>
          <w:i/>
        </w:rPr>
      </w:pPr>
    </w:p>
    <w:p w14:paraId="71E5F6D1" w14:textId="77777777" w:rsidR="006B58B5" w:rsidRDefault="006B58B5" w:rsidP="006B58B5">
      <w:pPr>
        <w:pStyle w:val="CommentText"/>
        <w:jc w:val="both"/>
        <w:rPr>
          <w:rFonts w:ascii="Calibri" w:hAnsi="Calibri"/>
          <w:i/>
        </w:rPr>
      </w:pPr>
    </w:p>
    <w:p w14:paraId="603B1243" w14:textId="0956B329" w:rsidR="00063D78" w:rsidRDefault="00063D78" w:rsidP="00063D78">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Client group risk →</w:t>
      </w:r>
      <w:r w:rsidRPr="00A6113C">
        <w:rPr>
          <w:rFonts w:ascii="Calibri" w:hAnsi="Calibri" w:cstheme="minorHAnsi"/>
          <w:b/>
          <w:bCs/>
          <w:sz w:val="20"/>
          <w:szCs w:val="20"/>
        </w:rPr>
      </w:r>
      <w:sdt>
        <w:sdtPr>
          <w:rPr>
            <w:rFonts w:ascii="Calibri" w:hAnsi="Calibri" w:cstheme="minorHAnsi"/>
            <w:b/>
            <w:bCs/>
            <w:sz w:val="20"/>
            <w:szCs w:val="20"/>
          </w:rPr>
          <w:id w:val="-1716349565"/>
          <w:lock w:val="sdtLocked"/>
          <w:placeholder>
            <w:docPart w:val="DefaultPlaceholder_-1854013438"/>
          </w:placeholder>
          <w:dropDownList>
            <w:listItem w:displayText="Low" w:value="Low"/>
            <w:listItem w:displayText="Moderate" w:value="Moderate"/>
            <w:listItem w:displayText="High" w:value="High"/>
          </w:dropDownList>
        </w:sdtPr>
        <w:sdtContent>
          <w:r w:rsidR="00407168">
            <w:rPr>
              <w:rFonts w:ascii="Calibri" w:hAnsi="Calibri" w:cstheme="minorHAnsi"/>
              <w:b/>
              <w:bCs/>
              <w:sz w:val="20"/>
              <w:szCs w:val="20"/>
            </w:rPr>
            <w:t>Low</w:t>
          </w:r>
        </w:sdtContent>
      </w:sdt>
    </w:p>
    <w:tbl>
      <w:tblPr>
        <w:tblStyle w:val="TableGrid"/>
        <w:tblW w:w="13005" w:type="dxa"/>
        <w:tblLook w:val="04A0" w:firstRow="1" w:lastRow="0" w:firstColumn="1" w:lastColumn="0" w:noHBand="0" w:noVBand="1"/>
      </w:tblPr>
      <w:tblGrid>
        <w:gridCol w:w="2893"/>
        <w:gridCol w:w="3512"/>
        <w:gridCol w:w="3252"/>
        <w:gridCol w:w="3348"/>
      </w:tblGrid>
      <w:tr w:rsidR="00C27306" w:rsidRPr="008E51FF" w14:paraId="67411658" w14:textId="77777777" w:rsidTr="005D52B8">
        <w:tc>
          <w:tcPr>
            <w:tcW w:w="2893" w:type="dxa"/>
          </w:tcPr>
          <w:p w14:paraId="09AB23D3"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Compliance risk:</w:t>
            </w:r>
          </w:p>
        </w:tc>
        <w:tc>
          <w:tcPr>
            <w:tcW w:w="3512" w:type="dxa"/>
          </w:tcPr>
          <w:sdt>
            <w:sdtPr>
              <w:rPr>
                <w:rFonts w:cstheme="minorHAnsi"/>
                <w:i/>
              </w:rPr>
              <w:id w:val="-2116201778"/>
              <w:lock w:val="sdtLocked"/>
              <w:placeholder>
                <w:docPart w:val="214051E03E67420CAFE43CA182BBBE07"/>
              </w:placeholder>
              <w:showingPlcHdr/>
              <w:dropDownList>
                <w:listItem w:displayText="Low" w:value="Low"/>
                <w:listItem w:displayText="Moderate" w:value="Moderate"/>
                <w:listItem w:displayText="High" w:value="High"/>
              </w:dropDownList>
            </w:sdtPr>
            <w:sdtContent>
              <w:p w14:paraId="058A1306" w14:textId="116147B9" w:rsidR="00C27306" w:rsidRPr="001903F9" w:rsidRDefault="00A519A7" w:rsidP="005D52B8">
                <w:pPr>
                  <w:rPr>
                    <w:rFonts w:asciiTheme="minorHAnsi" w:hAnsiTheme="minorHAnsi" w:cstheme="minorHAnsi"/>
                    <w:i/>
                  </w:rPr>
                </w:pPr>
                <w:r w:rsidRPr="00E928F2">
                  <w:rPr>
                    <w:rStyle w:val="PlaceholderText"/>
                  </w:rPr>
                  <w:t>Choose an item.</w:t>
                </w:r>
              </w:p>
            </w:sdtContent>
          </w:sdt>
          <w:p w14:paraId="1D087797" w14:textId="77777777" w:rsidR="00C27306" w:rsidRPr="001903F9" w:rsidRDefault="00C27306" w:rsidP="005D52B8">
            <w:pPr>
              <w:jc w:val="center"/>
              <w:rPr>
                <w:rFonts w:asciiTheme="minorHAnsi" w:hAnsiTheme="minorHAnsi" w:cstheme="minorHAnsi"/>
              </w:rPr>
            </w:pPr>
            <w:r>
              <w:t>—</w:t>
            </w:r>
          </w:p>
        </w:tc>
        <w:tc>
          <w:tcPr>
            <w:tcW w:w="3252" w:type="dxa"/>
          </w:tcPr>
          <w:p w14:paraId="68E0AE59"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Seasonality of the business:</w:t>
            </w:r>
          </w:p>
        </w:tc>
        <w:tc>
          <w:tcPr>
            <w:tcW w:w="3347" w:type="dxa"/>
          </w:tcPr>
          <w:sdt>
            <w:sdtPr>
              <w:rPr>
                <w:rFonts w:cstheme="minorHAnsi"/>
                <w:i/>
              </w:rPr>
              <w:id w:val="1435940452"/>
              <w:lock w:val="sdtLocked"/>
              <w:placeholder>
                <w:docPart w:val="A83D35CCEAAE4E89974FCFB00BDA43F5"/>
              </w:placeholder>
              <w:showingPlcHdr/>
              <w:dropDownList>
                <w:listItem w:displayText="Seasonal" w:value="Seasonal"/>
                <w:listItem w:displayText="Non-seasonal" w:value="Non-seasonal"/>
              </w:dropDownList>
            </w:sdtPr>
            <w:sdtContent>
              <w:p w14:paraId="0E8D8C03" w14:textId="79ED9685" w:rsidR="00C27306" w:rsidRPr="008E51FF" w:rsidRDefault="00421154" w:rsidP="005D52B8">
                <w:pPr>
                  <w:rPr>
                    <w:rFonts w:asciiTheme="minorHAnsi" w:hAnsiTheme="minorHAnsi" w:cstheme="minorHAnsi"/>
                    <w:b/>
                    <w:bCs/>
                    <w:i/>
                  </w:rPr>
                </w:pPr>
                <w:r w:rsidRPr="00E928F2">
                  <w:rPr>
                    <w:rStyle w:val="PlaceholderText"/>
                  </w:rPr>
                  <w:t>Choose an item.</w:t>
                </w:r>
              </w:p>
            </w:sdtContent>
          </w:sdt>
          <w:p>
            <w:r>
              <w:t>—</w:t>
            </w:r>
          </w:p>
        </w:tc>
      </w:tr>
      <w:tr w:rsidR="00C27306" w:rsidRPr="008E51FF" w14:paraId="6B70D09E" w14:textId="77777777" w:rsidTr="005D52B8">
        <w:tc>
          <w:tcPr>
            <w:tcW w:w="2893" w:type="dxa"/>
          </w:tcPr>
          <w:p w14:paraId="47032435" w14:textId="77777777" w:rsidR="00C27306" w:rsidRPr="008E51FF" w:rsidRDefault="00C27306" w:rsidP="005D52B8">
            <w:pPr>
              <w:ind w:right="-104"/>
              <w:rPr>
                <w:rFonts w:asciiTheme="minorHAnsi" w:hAnsiTheme="minorHAnsi" w:cstheme="minorHAnsi"/>
                <w:b/>
                <w:bCs/>
                <w:iCs/>
              </w:rPr>
            </w:pPr>
            <w:r w:rsidRPr="008E51FF">
              <w:rPr>
                <w:rFonts w:asciiTheme="minorHAnsi" w:hAnsiTheme="minorHAnsi" w:cstheme="minorHAnsi"/>
                <w:b/>
                <w:bCs/>
                <w:iCs/>
                <w:lang w:val="en-US"/>
              </w:rPr>
              <w:t>FX risks, other exposures</w:t>
            </w:r>
            <w:r w:rsidRPr="008E51FF">
              <w:rPr>
                <w:rFonts w:asciiTheme="minorHAnsi" w:hAnsiTheme="minorHAnsi" w:cstheme="minorHAnsi"/>
                <w:b/>
                <w:bCs/>
                <w:iCs/>
              </w:rPr>
              <w:t>:</w:t>
            </w:r>
          </w:p>
        </w:tc>
        <w:tc>
          <w:tcPr>
            <w:tcW w:w="3512" w:type="dxa"/>
          </w:tcPr>
          <w:p w14:paraId="5E90D0DB" w14:textId="77777777" w:rsidR="00C27306" w:rsidRPr="008E51FF" w:rsidRDefault="00C27306" w:rsidP="005D52B8">
            <w:pPr>
              <w:rPr>
                <w:rFonts w:asciiTheme="minorHAnsi" w:hAnsiTheme="minorHAnsi" w:cstheme="minorHAnsi"/>
                <w:b/>
                <w:bCs/>
                <w:i/>
              </w:rPr>
            </w:pPr>
            <w:r w:rsidRPr="008E51FF">
              <w:rPr>
                <w:rFonts w:asciiTheme="minorHAnsi" w:hAnsiTheme="minorHAnsi" w:cstheme="minorHAnsi"/>
                <w:i/>
              </w:rPr>
              <w:t>—</w:t>
            </w:r>
          </w:p>
        </w:tc>
        <w:tc>
          <w:tcPr>
            <w:tcW w:w="3252" w:type="dxa"/>
          </w:tcPr>
          <w:p w14:paraId="74A945F6"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Concentration risk:</w:t>
            </w:r>
          </w:p>
        </w:tc>
        <w:tc>
          <w:tcPr>
            <w:tcW w:w="3347" w:type="dxa"/>
          </w:tcPr>
          <w:p w14:paraId="1CEDD77E" w14:textId="77777777" w:rsidR="00C27306" w:rsidRPr="008E51FF" w:rsidRDefault="00C27306" w:rsidP="005D52B8">
            <w:pPr>
              <w:jc w:val="both"/>
              <w:rPr>
                <w:rFonts w:asciiTheme="minorHAnsi" w:hAnsiTheme="minorHAnsi" w:cstheme="minorHAnsi"/>
                <w:i/>
              </w:rPr>
            </w:pPr>
            <w:r w:rsidRPr="008E51FF">
              <w:rPr>
                <w:rFonts w:asciiTheme="minorHAnsi" w:hAnsiTheme="minorHAnsi" w:cstheme="minorHAnsi"/>
                <w:i/>
              </w:rPr>
              <w:t>—</w:t>
            </w:r>
          </w:p>
        </w:tc>
      </w:tr>
      <w:tr w:rsidR="00C27306" w:rsidRPr="008E51FF" w14:paraId="54C7A83E" w14:textId="77777777" w:rsidTr="005D52B8">
        <w:tc>
          <w:tcPr>
            <w:tcW w:w="2893" w:type="dxa"/>
          </w:tcPr>
          <w:p w14:paraId="6200210D"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Business Cyclicity:</w:t>
            </w:r>
          </w:p>
        </w:tc>
        <w:tc>
          <w:tcPr>
            <w:tcW w:w="3512" w:type="dxa"/>
          </w:tcPr>
          <w:sdt>
            <w:sdtPr>
              <w:rPr>
                <w:rFonts w:cstheme="minorHAnsi"/>
                <w:i/>
              </w:rPr>
              <w:id w:val="-1361123708"/>
              <w:lock w:val="sdtLocked"/>
              <w:placeholder>
                <w:docPart w:val="A947C6DE1C6241C79675F7BCFB1206CE"/>
              </w:placeholder>
              <w:showingPlcHdr/>
              <w:dropDownList>
                <w:listItem w:displayText="Cyclical" w:value="Cyclical"/>
                <w:listItem w:displayText="Non-cyclical" w:value="Non-cyclical"/>
                <w:listItem w:displayText="Counter-cyclical" w:value="Counter-cyclical"/>
              </w:dropDownList>
            </w:sdtPr>
            <w:sdtContent>
              <w:p w14:paraId="3A00E00A" w14:textId="78AAB0E5" w:rsidR="00C27306" w:rsidRPr="008E51FF" w:rsidRDefault="007A726A" w:rsidP="005D52B8">
                <w:pPr>
                  <w:rPr>
                    <w:rFonts w:asciiTheme="minorHAnsi" w:hAnsiTheme="minorHAnsi" w:cstheme="minorHAnsi"/>
                    <w:b/>
                    <w:bCs/>
                    <w:i/>
                  </w:rPr>
                </w:pPr>
                <w:r w:rsidRPr="00E928F2">
                  <w:rPr>
                    <w:rStyle w:val="PlaceholderText"/>
                  </w:rPr>
                  <w:t>Choose an item.</w:t>
                </w:r>
              </w:p>
            </w:sdtContent>
          </w:sdt>
          <w:p>
            <w:r>
              <w:t>—</w:t>
            </w:r>
          </w:p>
        </w:tc>
        <w:tc>
          <w:tcPr>
            <w:tcW w:w="3252" w:type="dxa"/>
          </w:tcPr>
          <w:p w14:paraId="4E9FC430"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Internal transactions (intragroup risk):</w:t>
            </w:r>
          </w:p>
        </w:tc>
        <w:tc>
          <w:tcPr>
            <w:tcW w:w="3347" w:type="dxa"/>
          </w:tcPr>
          <w:p w14:paraId="62363622" w14:textId="77777777" w:rsidR="00C27306" w:rsidRPr="008E51FF" w:rsidRDefault="00C27306" w:rsidP="005D52B8">
            <w:pPr>
              <w:rPr>
                <w:rFonts w:asciiTheme="minorHAnsi" w:hAnsiTheme="minorHAnsi" w:cstheme="minorHAnsi"/>
                <w:b/>
                <w:bCs/>
                <w:i/>
              </w:rPr>
            </w:pPr>
            <w:r w:rsidRPr="008E51FF">
              <w:rPr>
                <w:rFonts w:asciiTheme="minorHAnsi" w:hAnsiTheme="minorHAnsi" w:cstheme="minorHAnsi"/>
                <w:i/>
              </w:rPr>
              <w:t>—</w:t>
            </w:r>
          </w:p>
        </w:tc>
      </w:tr>
    </w:tbl>
    <w:p w14:paraId="258AB811" w14:textId="77777777" w:rsidR="00063D78" w:rsidRDefault="00063D78" w:rsidP="00063D78">
      <w:pPr>
        <w:pStyle w:val="CommentText"/>
        <w:jc w:val="both"/>
        <w:rPr>
          <w:rFonts w:ascii="Calibri" w:hAnsi="Calibri"/>
          <w:i/>
        </w:rPr>
      </w:pPr>
      <w:r>
        <w:t>Клиент действует в рамках групповой структуры, включающей аффилированные компании, такие как ООО “CONGLOMATARE PRODUCTS”, которое предоставляет недвижимость в качестве залога по кредитным линиям группы. Консолидированная кредитная нагрузка группы является значительной: общий лимит по группе составляет USD 1,000,000, а дополнительные непогашенные обязательства в других банках на 4,944,559.4 тыс. UZS по состоянию на декабрь 2025 года. Имеются признаки внутрикорпоративной поддержки, что выражается в использовании активов, принадлежащих группе, в качестве залога, однако в доступной документации не указаны явные кросс-гарантии или существенные внутригрупповые сделки. Финансовое состояние группы оценивается как умеренное: коэффициент достаточности капитала составляет 0.2x, коэффициент ликвидности — 4.2x, а рейтинг стабильности определён на уровне 'B - Average'. Несмотря на способность группы использовать внутренние ресурсы, общий риск-профиль повышается из-за высокого уровня заемных средств и зависимости от активов группы для обеспечения кредитной поддержки.</w:t>
      </w:r>
    </w:p>
    <w:p w14:paraId="096419B6" w14:textId="77777777" w:rsidR="00063D78" w:rsidRDefault="00063D78" w:rsidP="006B58B5">
      <w:pPr>
        <w:pStyle w:val="CommentText"/>
        <w:jc w:val="both"/>
        <w:rPr>
          <w:rFonts w:ascii="Calibri" w:hAnsi="Calibri"/>
          <w:i/>
        </w:rPr>
      </w:pPr>
    </w:p>
    <w:p w14:paraId="003D1A9D" w14:textId="77777777" w:rsidR="002B62EA" w:rsidRDefault="002B62EA" w:rsidP="006B58B5">
      <w:pPr>
        <w:pStyle w:val="CommentText"/>
        <w:jc w:val="both"/>
        <w:rPr>
          <w:rFonts w:ascii="Calibri" w:hAnsi="Calibri"/>
          <w:i/>
        </w:rPr>
      </w:pPr>
    </w:p>
    <w:p w14:paraId="08CEFDC0" w14:textId="77777777" w:rsidR="002B62EA" w:rsidRDefault="002B62EA" w:rsidP="006B58B5">
      <w:pPr>
        <w:pStyle w:val="CommentText"/>
        <w:jc w:val="both"/>
        <w:rPr>
          <w:rFonts w:ascii="Calibri" w:hAnsi="Calibri"/>
          <w:i/>
        </w:rPr>
      </w:pPr>
    </w:p>
    <w:p w14:paraId="798DD13E" w14:textId="562328EA" w:rsidR="00F7043A" w:rsidRPr="00063D78" w:rsidRDefault="00F7043A" w:rsidP="006B58B5">
      <w:pPr>
        <w:pStyle w:val="CommentText"/>
        <w:jc w:val="both"/>
        <w:rPr>
          <w:rFonts w:ascii="Calibri" w:hAnsi="Calibri"/>
          <w:b/>
          <w:bCs/>
          <w:i/>
        </w:rPr>
      </w:pPr>
      <w:r w:rsidRPr="00063D78">
        <w:rPr>
          <w:rFonts w:ascii="Calibri" w:hAnsi="Calibri"/>
          <w:b/>
          <w:bCs/>
          <w:i/>
        </w:rPr>
        <w:t>Business model risk</w:t>
      </w:r>
      <w:r w:rsidRPr="00063D78">
        <w:rPr>
          <w:rFonts w:ascii="Calibri" w:hAnsi="Calibri"/>
          <w:b/>
          <w:bCs/>
          <w:i/>
        </w:rPr>
      </w:r>
      <w:r w:rsidRPr="00063D78">
        <w:rPr>
          <w:rFonts w:ascii="Calibri" w:hAnsi="Calibri"/>
          <w:b/>
          <w:bCs/>
          <w:i/>
        </w:rPr>
      </w:r>
      <w:sdt>
        <w:sdtPr>
          <w:rPr>
            <w:rFonts w:ascii="Calibri" w:hAnsi="Calibri"/>
            <w:b/>
            <w:bCs/>
            <w:i/>
          </w:rPr>
          <w:id w:val="-1809399066"/>
          <w:lock w:val="sdtLocked"/>
          <w:placeholder>
            <w:docPart w:val="DefaultPlaceholder_-1854013438"/>
          </w:placeholder>
          <w:dropDownList>
            <w:listItem w:displayText="Low " w:value="Low "/>
            <w:listItem w:displayText="Moderate" w:value="Moderate"/>
            <w:listItem w:displayText="High" w:value="High"/>
          </w:dropDownList>
        </w:sdtPr>
        <w:sdtContent>
          <w:r w:rsidR="00407168">
            <w:rPr>
              <w:rFonts w:ascii="Calibri" w:hAnsi="Calibri"/>
              <w:b/>
              <w:bCs/>
              <w:i/>
            </w:rPr>
            <w:t xml:space="preserve">Low </w:t>
          </w:r>
        </w:sdtContent>
      </w:sdt>
    </w:p>
    <w:p w14:paraId="6075BEEF" w14:textId="77777777" w:rsidR="00F843F2" w:rsidRDefault="00F843F2" w:rsidP="006B58B5">
      <w:pPr>
        <w:pStyle w:val="CommentText"/>
        <w:jc w:val="both"/>
        <w:rPr>
          <w:rFonts w:ascii="Calibri" w:hAnsi="Calibri"/>
          <w:i/>
        </w:rPr>
      </w:pPr>
      <w:r>
        <w:t>Компания демонстрирует устойчивую бизнес-модель, основанную на оптовой дистрибуции безалкогольных напитков — секторе, характеризующемся высокой оборачиваемостью и стабильным спросом, особенно с учетом жаркого климата Узбекистана. Выручка показывает стабильный рост: ожидается увеличение на 13% в годовом выражении в 2025 году и среднегодовой темп роста на уровне 18–20%, что отражает высокий рыночный спрос и эффективное позиционирование на рынке. Бизнес получает преимущества от официального дистрибьюторского соглашения с крупным поставщиком, "Coca-Cola Ichimligi Uzbekistan", что усиливает его конкурентные преимущества и присутствие на рынке. Однако такая зависимость от одного ключевого поставщика создает определенный риск концентрации в цепочке поставок, хотя долгосрочное партнерство и устоявшаяся история сотрудничества частично снижают эту уязвимость. В целом бизнес-модель компании отличается устойчивостью, поддерживается сильными фундаментальными факторами спроса и защищенной конкурентной позицией, однако требуется постоянный мониторинг зависимости от поставщика.</w:t>
      </w:r>
    </w:p>
    <w:p w14:paraId="21AEC29F" w14:textId="77777777" w:rsidR="002B62EA" w:rsidRDefault="002B62EA" w:rsidP="006B58B5">
      <w:pPr>
        <w:pStyle w:val="CommentText"/>
        <w:jc w:val="both"/>
        <w:rPr>
          <w:rFonts w:ascii="Calibri" w:hAnsi="Calibri"/>
          <w:i/>
        </w:rPr>
      </w:pPr>
    </w:p>
    <w:p w14:paraId="1A7EBFB2" w14:textId="77777777" w:rsidR="002B62EA" w:rsidRPr="00A6113C" w:rsidRDefault="002B62EA" w:rsidP="006B58B5">
      <w:pPr>
        <w:pStyle w:val="CommentText"/>
        <w:jc w:val="both"/>
        <w:rPr>
          <w:rFonts w:ascii="Calibri" w:hAnsi="Calibri"/>
          <w:i/>
        </w:rPr>
      </w:pPr>
    </w:p>
    <w:p w14:paraId="1E3AB586" w14:textId="44CB0DBE" w:rsidR="006B58B5" w:rsidRPr="00A6113C" w:rsidRDefault="006B58B5" w:rsidP="006B58B5">
      <w:pPr>
        <w:spacing w:after="0" w:line="240" w:lineRule="auto"/>
        <w:jc w:val="both"/>
        <w:rPr>
          <w:rFonts w:ascii="Calibri" w:hAnsi="Calibri" w:cstheme="minorHAnsi"/>
          <w:b/>
          <w:bCs/>
          <w:sz w:val="20"/>
          <w:szCs w:val="20"/>
        </w:rPr>
      </w:pPr>
      <w:r w:rsidRPr="00A86FF2">
        <w:rPr>
          <w:rFonts w:ascii="Calibri" w:hAnsi="Calibri" w:cstheme="minorHAnsi"/>
          <w:b/>
          <w:color w:val="000000"/>
          <w:sz w:val="20"/>
          <w:szCs w:val="20"/>
        </w:rPr>
        <w:t>Sectorial/Market risk →</w:t>
      </w:r>
      <w:r w:rsidR="009C0D8A" w:rsidRPr="00A86FF2">
        <w:rPr>
          <w:rFonts w:ascii="Calibri" w:hAnsi="Calibri" w:cstheme="minorHAnsi"/>
          <w:b/>
          <w:color w:val="000000"/>
          <w:sz w:val="20"/>
          <w:szCs w:val="20"/>
        </w:rPr>
      </w:r>
      <w:r w:rsidRPr="00A86FF2">
        <w:rPr>
          <w:rFonts w:ascii="Calibri" w:hAnsi="Calibri" w:cstheme="minorHAnsi"/>
          <w:b/>
          <w:color w:val="000000"/>
          <w:sz w:val="20"/>
          <w:szCs w:val="20"/>
        </w:rPr>
      </w:r>
      <w:r w:rsidRPr="00A86FF2">
        <w:rPr>
          <w:rFonts w:ascii="Calibri" w:hAnsi="Calibri" w:cstheme="minorHAnsi"/>
          <w:b/>
          <w:bCs/>
          <w:sz w:val="20"/>
          <w:szCs w:val="20"/>
        </w:rPr>
      </w:r>
      <w:sdt>
        <w:sdtPr>
          <w:rPr>
            <w:rFonts w:ascii="Calibri" w:hAnsi="Calibri" w:cstheme="minorHAnsi"/>
            <w:b/>
            <w:bCs/>
            <w:sz w:val="20"/>
            <w:szCs w:val="20"/>
          </w:rPr>
          <w:id w:val="670993533"/>
          <w:lock w:val="sdtLocked"/>
          <w:placeholder>
            <w:docPart w:val="DefaultPlaceholder_-1854013438"/>
          </w:placeholder>
          <w:dropDownList>
            <w:listItem w:displayText="Low" w:value="Low"/>
            <w:listItem w:displayText="Moderate" w:value="Moderate"/>
            <w:listItem w:displayText="High" w:value="High"/>
          </w:dropDownList>
        </w:sdtPr>
        <w:sdtContent>
          <w:r w:rsidR="00874A04">
            <w:rPr>
              <w:rFonts w:ascii="Calibri" w:hAnsi="Calibri" w:cstheme="minorHAnsi"/>
              <w:b/>
              <w:bCs/>
              <w:sz w:val="20"/>
              <w:szCs w:val="20"/>
            </w:rPr>
            <w:t>Low</w:t>
          </w:r>
        </w:sdtContent>
      </w:sdt>
    </w:p>
    <w:p w14:paraId="62776CF0" w14:textId="77777777" w:rsidR="00173739" w:rsidRDefault="00173739" w:rsidP="006B58B5">
      <w:pPr>
        <w:pStyle w:val="CommentText"/>
        <w:jc w:val="both"/>
        <w:rPr>
          <w:rFonts w:ascii="Calibri" w:hAnsi="Calibri"/>
          <w:i/>
        </w:rPr>
      </w:pPr>
      <w:r>
        <w:t>Оптовый сектор безалкогольных напитков в Узбекистане демонстрирует устойчивый рост, обусловленный стабильно высоким спросом из-за жаркого климата страны. Компания работает на рынке с высокой оборачиваемостью и стабильным ростом выручки; ожидается, что продажи в 2025 году увеличатся на 13% по сравнению с предыдущим годом, а среднегодовой темп роста составит 18–20%. Регуляторная среда стабильна, компания полностью соответствует действующим требованиям и не подвержена значительным рискам, связанным с соблюдением нормативов или тарифами. Несмотря на конкурентность сектора, устоявшееся положение компании на рынке и высокая позиция — 113-е место по выручке в отрасли — обеспечивают ее устойчивость. Макроэкономическая чувствительность смягчается за счет жизненно важного характера продукции и продемонстрированной стабильности сектора, однако требуется постоянный мониторинг ликвидности и оборотного капитала по мере изменения уровня запасов и операционных циклов.</w:t>
      </w:r>
    </w:p>
    <w:p w14:paraId="32AB47CD" w14:textId="77777777" w:rsidR="002B62EA" w:rsidRDefault="002B62EA" w:rsidP="006B58B5">
      <w:pPr>
        <w:pStyle w:val="CommentText"/>
        <w:jc w:val="both"/>
        <w:rPr>
          <w:rFonts w:ascii="Calibri" w:hAnsi="Calibri"/>
          <w:i/>
        </w:rPr>
      </w:pPr>
    </w:p>
    <w:p w14:paraId="26C394A2" w14:textId="77777777" w:rsidR="002B62EA" w:rsidRPr="008261A0" w:rsidRDefault="002B62EA" w:rsidP="006B58B5">
      <w:pPr>
        <w:pStyle w:val="CommentText"/>
        <w:jc w:val="both"/>
        <w:rPr>
          <w:rFonts w:ascii="Calibri" w:hAnsi="Calibri"/>
          <w:b/>
          <w:bCs/>
          <w:i/>
        </w:rPr>
      </w:pPr>
    </w:p>
    <w:p w14:paraId="05C77F0C" w14:textId="548D1D6E" w:rsidR="00173739" w:rsidRPr="008261A0" w:rsidRDefault="00173739" w:rsidP="00812955">
      <w:pPr>
        <w:spacing w:after="0"/>
        <w:ind w:right="-426"/>
        <w:jc w:val="both"/>
        <w:rPr>
          <w:rFonts w:ascii="Calibri" w:eastAsia="Times New Roman" w:hAnsi="Calibri" w:cs="Times New Roman"/>
          <w:b/>
          <w:bCs/>
          <w:i/>
          <w:sz w:val="20"/>
          <w:szCs w:val="20"/>
        </w:rPr>
      </w:pPr>
      <w:r w:rsidRPr="008261A0">
        <w:rPr>
          <w:rFonts w:ascii="Calibri" w:eastAsia="Times New Roman" w:hAnsi="Calibri" w:cs="Times New Roman"/>
          <w:b/>
          <w:bCs/>
          <w:i/>
          <w:sz w:val="20"/>
          <w:szCs w:val="20"/>
        </w:rPr>
        <w:t>Industry profile</w:t>
      </w:r>
      <w:r w:rsidR="001A6E6F" w:rsidRPr="008261A0">
        <w:rPr>
          <w:rFonts w:ascii="Calibri" w:eastAsia="Times New Roman" w:hAnsi="Calibri" w:cs="Times New Roman"/>
          <w:b/>
          <w:bCs/>
          <w:i/>
          <w:sz w:val="20"/>
          <w:szCs w:val="20"/>
        </w:rPr>
      </w:r>
    </w:p>
    <w:p w14:paraId="36D8D2C5" w14:textId="77777777" w:rsidR="002B62EA" w:rsidRDefault="002B62EA" w:rsidP="009733F9">
      <w:pPr>
        <w:spacing w:after="0"/>
        <w:ind w:right="-426"/>
        <w:jc w:val="both"/>
        <w:rPr>
          <w:rFonts w:ascii="Calibri" w:eastAsia="Times New Roman" w:hAnsi="Calibri" w:cs="Times New Roman"/>
          <w:i/>
          <w:sz w:val="20"/>
          <w:szCs w:val="20"/>
        </w:rPr>
      </w:pPr>
      <w:r>
        <w:t>Оптовая индустрия безалкогольных напитков в Узбекистане демонстрирует устойчивый и продолжительный рост, обусловленный высоким потребительским спросом. Сектор выигрывает от преимущественно жаркого климата страны, который обеспечивает стабильно высокий уровень потребления безалкогольных напитков. Ожидается, что выручка в этом сегменте достигнет примерно 125,3 млрд UZS в 2025 году, что представляет собой рост на 13% в годовом выражении при среднем ежегодном темпе роста 18–20%. Такая положительная динамика отражает как стабильный рыночный спрос, так и высокую оборачиваемость сектора.</w:t>
      </w:r>
    </w:p>
    <w:p>
      <w:r>
        <w:t>Ключевыми драйверами отрасли являются климатические факторы, обеспечивающие круглогодичный спрос, а также высокая скорость оборачиваемости товаров, характерная для оптовой торговли. Рынок характеризуется налаженными дистрибуционными сетями и опытными операторами, что может создавать умеренные барьеры для входа новых участников, стремящихся достичь аналогичных масштабов и эффективности. Регуляторный надзор присутствует, но не создает значительных ограничений, что подтверждается полной соответствием компании действующим требованиям и отсутствием рисков, связанных с соблюдением нормативов. Отрасль в значительной степени защищена от нестабильности мировых тарифов благодаря своему внутреннему операционному фокусу.</w:t>
      </w:r>
    </w:p>
    <w:p>
      <w:r>
        <w:t>В целом, оптовый сектор безалкогольных напитков в Узбекистане предлагает благоприятную среду для роста, поддерживаемую сильными фундаментальными факторами спроса и стабильной регуляторной базой.</w:t>
      </w:r>
    </w:p>
    <w:p w14:paraId="161DFE3B" w14:textId="77777777" w:rsidR="002B62EA" w:rsidRDefault="002B62EA" w:rsidP="009733F9">
      <w:pPr>
        <w:spacing w:after="0"/>
        <w:ind w:right="-426"/>
        <w:jc w:val="both"/>
        <w:rPr>
          <w:rFonts w:ascii="Calibri" w:eastAsia="Times New Roman" w:hAnsi="Calibri" w:cs="Times New Roman"/>
          <w:i/>
          <w:sz w:val="20"/>
          <w:szCs w:val="20"/>
        </w:rPr>
      </w:pPr>
    </w:p>
    <w:p w14:paraId="0372727A" w14:textId="371AB1A6" w:rsidR="001A6E6F" w:rsidRPr="00DA673F" w:rsidRDefault="00EB6A5D" w:rsidP="009733F9">
      <w:pPr>
        <w:spacing w:after="0"/>
        <w:ind w:right="-426"/>
        <w:jc w:val="both"/>
        <w:rPr>
          <w:rFonts w:ascii="Calibri" w:eastAsia="Times New Roman" w:hAnsi="Calibri" w:cs="Times New Roman"/>
          <w:i/>
          <w:sz w:val="20"/>
          <w:szCs w:val="20"/>
        </w:rPr>
      </w:pPr>
      <w:r>
        <w:rPr>
          <w:rFonts w:ascii="Calibri" w:eastAsia="Times New Roman" w:hAnsi="Calibri" w:cs="Times New Roman"/>
          <w:i/>
          <w:sz w:val="20"/>
          <w:szCs w:val="20"/>
        </w:rPr>
        <w:t xml:space="preserve"> </w:t>
      </w:r>
    </w:p>
    <w:p w14:paraId="19825364" w14:textId="77777777" w:rsidR="00173739" w:rsidRPr="008261A0" w:rsidRDefault="00173739" w:rsidP="00265C65">
      <w:pPr>
        <w:spacing w:after="0"/>
        <w:ind w:right="-426"/>
        <w:jc w:val="both"/>
        <w:rPr>
          <w:rFonts w:ascii="Calibri" w:eastAsia="Times New Roman" w:hAnsi="Calibri" w:cs="Times New Roman"/>
          <w:b/>
          <w:bCs/>
          <w:i/>
          <w:sz w:val="20"/>
          <w:szCs w:val="20"/>
        </w:rPr>
      </w:pPr>
      <w:r w:rsidRPr="008261A0">
        <w:rPr>
          <w:rFonts w:ascii="Calibri" w:eastAsia="Times New Roman" w:hAnsi="Calibri" w:cs="Times New Roman"/>
          <w:b/>
          <w:bCs/>
          <w:i/>
          <w:sz w:val="20"/>
          <w:szCs w:val="20"/>
        </w:rPr>
        <w:t>Market profile</w:t>
      </w:r>
    </w:p>
    <w:tbl>
      <w:tblPr>
        <w:tblStyle w:val="TableGrid"/>
        <w:tblW w:w="13005" w:type="dxa"/>
        <w:tblLook w:val="04A0" w:firstRow="1" w:lastRow="0" w:firstColumn="1" w:lastColumn="0" w:noHBand="0" w:noVBand="1"/>
      </w:tblPr>
      <w:tblGrid>
        <w:gridCol w:w="2323"/>
        <w:gridCol w:w="3884"/>
        <w:gridCol w:w="3073"/>
        <w:gridCol w:w="3725"/>
      </w:tblGrid>
      <w:tr w:rsidR="00A86FF2" w14:paraId="0A220571" w14:textId="77777777" w:rsidTr="009733F9">
        <w:tc>
          <w:tcPr>
            <w:tcW w:w="2323" w:type="dxa"/>
          </w:tcPr>
          <w:p w14:paraId="7AE283FF" w14:textId="3FEFF827" w:rsidR="00A86FF2" w:rsidRDefault="00A86FF2" w:rsidP="00EB55E2">
            <w:pPr>
              <w:ind w:right="-426"/>
              <w:rPr>
                <w:rFonts w:ascii="Calibri" w:hAnsi="Calibri"/>
                <w:b/>
                <w:bCs/>
                <w:i/>
              </w:rPr>
            </w:pPr>
            <w:r w:rsidRPr="00F13157">
              <w:rPr>
                <w:rFonts w:ascii="Calibri" w:hAnsi="Calibri"/>
                <w:b/>
                <w:bCs/>
                <w:i/>
              </w:rPr>
              <w:t>Product need:</w:t>
            </w:r>
          </w:p>
        </w:tc>
        <w:tc>
          <w:tcPr>
            <w:tcW w:w="3884" w:type="dxa"/>
          </w:tcPr>
          <w:sdt>
            <w:sdtPr>
              <w:rPr>
                <w:rFonts w:ascii="Calibri" w:hAnsi="Calibri"/>
                <w:i/>
              </w:rPr>
              <w:id w:val="-620990599"/>
              <w:placeholder>
                <w:docPart w:val="D47E721D97B44D48A4F344F1FE3FA6CA"/>
              </w:placeholder>
              <w:showingPlcHdr/>
              <w:dropDownList>
                <w:listItem w:displayText="Necessary" w:value="Necessary"/>
                <w:listItem w:displayText="Changing demand" w:value="Changing demand"/>
              </w:dropDownList>
            </w:sdtPr>
            <w:sdtContent>
              <w:p w14:paraId="57FBD7FF" w14:textId="30EDCF99" w:rsidR="00A86FF2" w:rsidRDefault="008E5006" w:rsidP="00EB55E2">
                <w:pPr>
                  <w:rPr>
                    <w:rFonts w:ascii="Calibri" w:hAnsi="Calibri"/>
                    <w:b/>
                    <w:bCs/>
                    <w:i/>
                  </w:rPr>
                </w:pPr>
                <w:r w:rsidRPr="00E928F2">
                  <w:rPr>
                    <w:rStyle w:val="PlaceholderText"/>
                  </w:rPr>
                  <w:t>Choose an item.</w:t>
                </w:r>
              </w:p>
            </w:sdtContent>
          </w:sdt>
          <w:p>
            <w:r>
              <w:t>—</w:t>
            </w:r>
          </w:p>
        </w:tc>
        <w:tc>
          <w:tcPr>
            <w:tcW w:w="3073" w:type="dxa"/>
          </w:tcPr>
          <w:p w14:paraId="4D7798B3" w14:textId="76E68D39" w:rsidR="00A86FF2" w:rsidRDefault="00A86FF2" w:rsidP="00EB55E2">
            <w:pPr>
              <w:ind w:right="-426"/>
              <w:rPr>
                <w:rFonts w:ascii="Calibri" w:hAnsi="Calibri"/>
                <w:b/>
                <w:bCs/>
                <w:i/>
              </w:rPr>
            </w:pPr>
            <w:r w:rsidRPr="002F71B7">
              <w:rPr>
                <w:rFonts w:ascii="Calibri" w:hAnsi="Calibri"/>
                <w:b/>
                <w:bCs/>
                <w:i/>
              </w:rPr>
              <w:t>Customers</w:t>
            </w:r>
            <w:r>
              <w:rPr>
                <w:rFonts w:ascii="Calibri" w:hAnsi="Calibri"/>
                <w:i/>
              </w:rPr>
              <w:t>:</w:t>
            </w:r>
          </w:p>
        </w:tc>
        <w:tc>
          <w:tcPr>
            <w:tcW w:w="3725" w:type="dxa"/>
          </w:tcPr>
          <w:sdt>
            <w:sdtPr>
              <w:rPr>
                <w:rFonts w:ascii="Calibri" w:hAnsi="Calibri"/>
                <w:i/>
              </w:rPr>
              <w:id w:val="-395896109"/>
              <w:placeholder>
                <w:docPart w:val="BB69FBC714694F3F8170E44AD1B64BD1"/>
              </w:placeholder>
              <w:showingPlcHdr/>
              <w:dropDownList>
                <w:listItem w:displayText="Growing" w:value="Growing"/>
                <w:listItem w:displayText="Stable" w:value="Stable"/>
                <w:listItem w:displayText="Declining" w:value="Declining"/>
              </w:dropDownList>
            </w:sdtPr>
            <w:sdtContent>
              <w:p w14:paraId="5EEECC57" w14:textId="021B64D3" w:rsidR="00A86FF2" w:rsidRDefault="00AF7C6D" w:rsidP="00D547D6">
                <w:pPr>
                  <w:rPr>
                    <w:rFonts w:ascii="Calibri" w:hAnsi="Calibri"/>
                    <w:b/>
                    <w:bCs/>
                    <w:i/>
                  </w:rPr>
                </w:pPr>
                <w:r w:rsidRPr="00E928F2">
                  <w:rPr>
                    <w:rStyle w:val="PlaceholderText"/>
                  </w:rPr>
                  <w:t>Choose an item.</w:t>
                </w:r>
              </w:p>
            </w:sdtContent>
          </w:sdt>
          <w:p>
            <w:r>
              <w:t>—</w:t>
            </w:r>
          </w:p>
        </w:tc>
      </w:tr>
      <w:tr w:rsidR="00A86FF2" w14:paraId="0337590D" w14:textId="77777777" w:rsidTr="009733F9">
        <w:tc>
          <w:tcPr>
            <w:tcW w:w="2323" w:type="dxa"/>
          </w:tcPr>
          <w:p w14:paraId="56377FBD" w14:textId="32266981" w:rsidR="00A86FF2" w:rsidRDefault="00A86FF2" w:rsidP="00EB55E2">
            <w:pPr>
              <w:ind w:right="-426"/>
              <w:rPr>
                <w:rFonts w:ascii="Calibri" w:hAnsi="Calibri"/>
                <w:b/>
                <w:bCs/>
                <w:i/>
              </w:rPr>
            </w:pPr>
            <w:r w:rsidRPr="00F13157">
              <w:rPr>
                <w:rFonts w:ascii="Calibri" w:hAnsi="Calibri"/>
                <w:b/>
                <w:bCs/>
                <w:i/>
              </w:rPr>
              <w:t>Competition:</w:t>
            </w:r>
          </w:p>
        </w:tc>
        <w:tc>
          <w:tcPr>
            <w:tcW w:w="3884" w:type="dxa"/>
          </w:tcPr>
          <w:sdt>
            <w:sdtPr>
              <w:rPr>
                <w:rFonts w:ascii="Calibri" w:hAnsi="Calibri"/>
                <w:i/>
              </w:rPr>
              <w:id w:val="-641579095"/>
              <w:placeholder>
                <w:docPart w:val="89217B1106F6423191F07CEF8F458898"/>
              </w:placeholder>
              <w:showingPlcHdr/>
              <w:dropDownList>
                <w:listItem w:displayText="Growing" w:value="Growing"/>
                <w:listItem w:displayText="Consolidating" w:value="Consolidating"/>
                <w:listItem w:displayText="Reducing" w:value="Reducing"/>
              </w:dropDownList>
            </w:sdtPr>
            <w:sdtContent>
              <w:p w14:paraId="7F9F00A1" w14:textId="1D3CFA5C" w:rsidR="00A86FF2" w:rsidRDefault="000A78CF" w:rsidP="00EB55E2">
                <w:pPr>
                  <w:rPr>
                    <w:rFonts w:ascii="Calibri" w:hAnsi="Calibri"/>
                    <w:b/>
                    <w:bCs/>
                    <w:i/>
                  </w:rPr>
                </w:pPr>
                <w:r w:rsidRPr="00E928F2">
                  <w:rPr>
                    <w:rStyle w:val="PlaceholderText"/>
                  </w:rPr>
                  <w:t>Choose an item.</w:t>
                </w:r>
              </w:p>
            </w:sdtContent>
          </w:sdt>
          <w:p>
            <w:r>
              <w:t>—</w:t>
            </w:r>
          </w:p>
        </w:tc>
        <w:tc>
          <w:tcPr>
            <w:tcW w:w="3073" w:type="dxa"/>
          </w:tcPr>
          <w:p w14:paraId="6018E305" w14:textId="31FFA499" w:rsidR="00A86FF2" w:rsidRDefault="00A86FF2" w:rsidP="00EB55E2">
            <w:pPr>
              <w:ind w:right="-426"/>
              <w:rPr>
                <w:rFonts w:ascii="Calibri" w:hAnsi="Calibri"/>
                <w:b/>
                <w:bCs/>
                <w:i/>
              </w:rPr>
            </w:pPr>
            <w:r w:rsidRPr="002F71B7">
              <w:rPr>
                <w:rFonts w:ascii="Calibri" w:hAnsi="Calibri"/>
                <w:b/>
                <w:bCs/>
                <w:i/>
              </w:rPr>
              <w:t>Industry Features/Risks</w:t>
            </w:r>
            <w:r>
              <w:rPr>
                <w:rFonts w:ascii="Calibri" w:hAnsi="Calibri"/>
                <w:b/>
                <w:bCs/>
                <w:i/>
              </w:rPr>
              <w:t>:</w:t>
            </w:r>
          </w:p>
        </w:tc>
        <w:tc>
          <w:tcPr>
            <w:tcW w:w="3725" w:type="dxa"/>
          </w:tcPr>
          <w:sdt>
            <w:sdtPr>
              <w:rPr>
                <w:rFonts w:ascii="Calibri" w:hAnsi="Calibri"/>
                <w:i/>
              </w:rPr>
              <w:id w:val="-1649736976"/>
              <w:placeholder>
                <w:docPart w:val="0EC176984E7D4CAF960A0C28AA3E7E4B"/>
              </w:placeholder>
              <w:showingPlcHdr/>
              <w:dropDownList>
                <w:listItem w:displayText="Cyclical" w:value="Cyclical"/>
                <w:listItem w:displayText="Non-cyclical" w:value="Non-cyclical"/>
                <w:listItem w:displayText="Counter-cyclical" w:value="Counter-cyclical"/>
              </w:dropDownList>
            </w:sdtPr>
            <w:sdtContent>
              <w:p w14:paraId="2A2C5EA3" w14:textId="08054EE6" w:rsidR="00A86FF2" w:rsidRPr="00D547D6" w:rsidRDefault="008E5006" w:rsidP="00D547D6">
                <w:pPr>
                  <w:jc w:val="both"/>
                  <w:rPr>
                    <w:rFonts w:ascii="Calibri" w:hAnsi="Calibri"/>
                    <w:i/>
                  </w:rPr>
                </w:pPr>
                <w:r w:rsidRPr="00E928F2">
                  <w:rPr>
                    <w:rStyle w:val="PlaceholderText"/>
                  </w:rPr>
                  <w:t>Choose an item.</w:t>
                </w:r>
              </w:p>
            </w:sdtContent>
          </w:sdt>
          <w:p>
            <w:r>
              <w:t>—</w:t>
            </w:r>
          </w:p>
        </w:tc>
      </w:tr>
      <w:tr w:rsidR="00A86FF2" w14:paraId="4D67BDD0" w14:textId="77777777" w:rsidTr="009733F9">
        <w:tc>
          <w:tcPr>
            <w:tcW w:w="2323" w:type="dxa"/>
          </w:tcPr>
          <w:p w14:paraId="7D600649" w14:textId="38A0824D" w:rsidR="00A86FF2" w:rsidRDefault="00A86FF2" w:rsidP="00EB55E2">
            <w:pPr>
              <w:ind w:right="-426"/>
              <w:rPr>
                <w:rFonts w:ascii="Calibri" w:hAnsi="Calibri"/>
                <w:b/>
                <w:bCs/>
                <w:i/>
              </w:rPr>
            </w:pPr>
            <w:r w:rsidRPr="002F71B7">
              <w:rPr>
                <w:rFonts w:ascii="Calibri" w:hAnsi="Calibri"/>
                <w:b/>
                <w:bCs/>
                <w:i/>
              </w:rPr>
              <w:t xml:space="preserve">Market share </w:t>
            </w:r>
            <w:r w:rsidR="009733F9">
              <w:rPr>
                <w:rFonts w:ascii="Calibri" w:hAnsi="Calibri"/>
                <w:b/>
                <w:bCs/>
                <w:i/>
              </w:rPr>
              <w:t>(%)</w:t>
            </w:r>
          </w:p>
        </w:tc>
        <w:tc>
          <w:tcPr>
            <w:tcW w:w="3884" w:type="dxa"/>
          </w:tcPr>
          <w:p w14:paraId="115D7680" w14:textId="75526D53" w:rsidR="00A86FF2" w:rsidRDefault="00EB55E2" w:rsidP="00EB55E2">
            <w:pPr>
              <w:rPr>
                <w:rFonts w:ascii="Calibri" w:hAnsi="Calibri"/>
                <w:b/>
                <w:bCs/>
                <w:i/>
              </w:rPr>
            </w:pPr>
            <w:r w:rsidRPr="002F71B7">
              <w:rPr>
                <w:rFonts w:ascii="Calibri" w:hAnsi="Calibri"/>
                <w:i/>
              </w:rPr>
              <w:t>—</w:t>
            </w:r>
            <w:r w:rsidRPr="009733F9">
              <w:rPr>
                <w:rFonts w:ascii="Calibri" w:hAnsi="Calibri"/>
                <w:i/>
              </w:rPr>
            </w:r>
            <w:r w:rsidR="009733F9" w:rsidRPr="009733F9">
              <w:rPr>
                <w:rFonts w:ascii="Calibri" w:hAnsi="Calibri"/>
                <w:i/>
              </w:rPr>
            </w:r>
            <w:r w:rsidRPr="009733F9">
              <w:rPr>
                <w:rFonts w:ascii="Calibri" w:hAnsi="Calibri"/>
                <w:i/>
              </w:rPr>
            </w:r>
            <w:r w:rsidRPr="002F71B7">
              <w:rPr>
                <w:rFonts w:ascii="Calibri" w:hAnsi="Calibri"/>
                <w:i/>
              </w:rPr>
            </w:r>
            <w:r w:rsidR="009733F9">
              <w:rPr>
                <w:rFonts w:ascii="Calibri" w:hAnsi="Calibri"/>
                <w:i/>
              </w:rPr>
            </w:r>
          </w:p>
        </w:tc>
        <w:tc>
          <w:tcPr>
            <w:tcW w:w="3073" w:type="dxa"/>
          </w:tcPr>
          <w:p w14:paraId="26D65B99" w14:textId="375A5E92" w:rsidR="00A86FF2" w:rsidRDefault="00A86FF2" w:rsidP="00EB55E2">
            <w:pPr>
              <w:ind w:right="-426"/>
              <w:rPr>
                <w:rFonts w:ascii="Calibri" w:hAnsi="Calibri"/>
                <w:b/>
                <w:bCs/>
                <w:i/>
              </w:rPr>
            </w:pPr>
            <w:r w:rsidRPr="002F71B7">
              <w:rPr>
                <w:rFonts w:ascii="Calibri" w:hAnsi="Calibri"/>
                <w:b/>
                <w:bCs/>
                <w:i/>
              </w:rPr>
              <w:t>Industry lifecycle:</w:t>
            </w:r>
          </w:p>
        </w:tc>
        <w:tc>
          <w:tcPr>
            <w:tcW w:w="3725" w:type="dxa"/>
          </w:tcPr>
          <w:sdt>
            <w:sdtPr>
              <w:rPr>
                <w:rFonts w:ascii="Calibri" w:hAnsi="Calibri"/>
                <w:i/>
              </w:rPr>
              <w:id w:val="1837499326"/>
              <w:placeholder>
                <w:docPart w:val="1D2064BB7BA040FD97829C5AE5F1AB97"/>
              </w:placeholder>
              <w:showingPlcHdr/>
              <w:dropDownList>
                <w:listItem w:displayText="Birth" w:value="Birth"/>
                <w:listItem w:displayText="Growth" w:value="Growth"/>
                <w:listItem w:displayText="Shakeout" w:value="Shakeout"/>
                <w:listItem w:displayText="Maturity" w:value="Maturity"/>
                <w:listItem w:displayText="Decline" w:value="Decline"/>
              </w:dropDownList>
            </w:sdtPr>
            <w:sdtContent>
              <w:p w14:paraId="67DE120F" w14:textId="6224BC41" w:rsidR="00A86FF2" w:rsidRDefault="00AF7C6D" w:rsidP="00D547D6">
                <w:pPr>
                  <w:rPr>
                    <w:rFonts w:ascii="Calibri" w:hAnsi="Calibri"/>
                    <w:b/>
                    <w:bCs/>
                    <w:i/>
                  </w:rPr>
                </w:pPr>
                <w:r w:rsidRPr="00E928F2">
                  <w:rPr>
                    <w:rStyle w:val="PlaceholderText"/>
                  </w:rPr>
                  <w:t>Choose an item.</w:t>
                </w:r>
              </w:p>
            </w:sdtContent>
          </w:sdt>
          <w:p>
            <w:r>
              <w:t>—</w:t>
            </w:r>
          </w:p>
        </w:tc>
      </w:tr>
    </w:tbl>
    <w:p w14:paraId="787529FF" w14:textId="77777777" w:rsidR="009733F9" w:rsidRPr="009733F9" w:rsidRDefault="009733F9" w:rsidP="009733F9">
      <w:pPr>
        <w:spacing w:after="0"/>
        <w:ind w:right="-426"/>
        <w:jc w:val="both"/>
        <w:rPr>
          <w:rFonts w:ascii="Calibri" w:eastAsia="Times New Roman" w:hAnsi="Calibri" w:cs="Times New Roman"/>
          <w:i/>
          <w:sz w:val="20"/>
          <w:szCs w:val="20"/>
        </w:rPr>
      </w:pPr>
      <w:r>
        <w:t>PRODUCTS WATER LLC зарекомендовала себя как сильный игрок на рынке оптовой дистрибуции безалкогольных напитков, используя значительный опыт в данном секторе. По данным на конец 2025 года компания занимает 113-е место по выручке в своей отрасли и 244-е место в Ташкентском регионе. На национальном уровне она находится на 1900-й позиции по выручке, что свидетельствует о прочной, хотя и не доминирующей, доле рынка в конкурентной среде дистрибуции напитков Узбекистана.</w:t>
      </w:r>
    </w:p>
    <w:p>
      <w:r>
        <w:t>Выручка компании демонстрирует стабильный и уверенный рост: ожидается увеличение на 13% в годовом выражении в 2025 году и среднегодовой темп роста на уровне 18–20%. Такой результат обеспечивается устойчивым спросом на продуктовый портфель компании, что отражает стабильную и расширяющуюся клиентскую базу. Официальный статус дистрибьютора с августа 2023 года дополнительно укрепляет конкурентные позиции компании и способствует дальнейшему увеличению доли рынка.</w:t>
      </w:r>
    </w:p>
    <w:p>
      <w:r>
        <w:t>Конкурентная среда в секторе остается напряженной, однако налаженные отношения PRODUCTS WATER LLC с ключевыми поставщиками и официальный статус дистрибьютора обеспечивают компании конкурентное преимущество. Операционный фокус в Ташкентском регионе в сочетании с растущей выручкой делает компанию заметным игроком на региональном рынке с потенциалом для дальнейшего расширения.</w:t>
      </w:r>
    </w:p>
    <w:p w14:paraId="298E40F0" w14:textId="77777777" w:rsidR="002B62EA" w:rsidRDefault="002B62EA" w:rsidP="00652558">
      <w:pPr>
        <w:spacing w:before="240" w:after="0"/>
        <w:ind w:right="-426"/>
        <w:jc w:val="both"/>
        <w:rPr>
          <w:rFonts w:ascii="Calibri" w:eastAsia="Times New Roman" w:hAnsi="Calibri" w:cs="Times New Roman"/>
          <w:i/>
          <w:sz w:val="20"/>
          <w:szCs w:val="20"/>
        </w:rPr>
      </w:pPr>
    </w:p>
    <w:p w14:paraId="1E13E9FF" w14:textId="77777777" w:rsidR="002B62EA" w:rsidRDefault="002B62EA" w:rsidP="00652558">
      <w:pPr>
        <w:spacing w:before="240" w:after="0"/>
        <w:ind w:right="-426"/>
        <w:jc w:val="both"/>
        <w:rPr>
          <w:rFonts w:ascii="Calibri" w:eastAsia="Times New Roman" w:hAnsi="Calibri" w:cs="Times New Roman"/>
          <w:i/>
          <w:sz w:val="20"/>
          <w:szCs w:val="20"/>
        </w:rPr>
      </w:pPr>
    </w:p>
    <w:p w14:paraId="550A9958" w14:textId="515DFF31" w:rsidR="00DD08F2" w:rsidRPr="00DD08F2" w:rsidRDefault="002E7FEB" w:rsidP="00652558">
      <w:pPr>
        <w:spacing w:before="240" w:after="0"/>
        <w:ind w:right="-426"/>
        <w:jc w:val="both"/>
        <w:rPr>
          <w:rFonts w:ascii="Calibri" w:eastAsia="Times New Roman" w:hAnsi="Calibri" w:cs="Times New Roman"/>
          <w:b/>
          <w:bCs/>
          <w:i/>
          <w:sz w:val="20"/>
          <w:szCs w:val="20"/>
        </w:rPr>
      </w:pPr>
      <w:r>
        <w:rPr>
          <w:rFonts w:ascii="Calibri" w:eastAsia="Times New Roman" w:hAnsi="Calibri" w:cs="Times New Roman"/>
          <w:b/>
          <w:bCs/>
          <w:i/>
          <w:sz w:val="20"/>
          <w:szCs w:val="20"/>
        </w:rPr>
        <w:t>Strengths Weaknesses Opportunities Threats (SWOT):</w:t>
      </w:r>
      <w:r w:rsidR="00DD08F2" w:rsidRPr="00DD08F2">
        <w:rPr>
          <w:rFonts w:ascii="Calibri" w:eastAsia="Times New Roman" w:hAnsi="Calibri" w:cs="Times New Roman"/>
          <w:b/>
          <w:bCs/>
          <w:i/>
          <w:sz w:val="20"/>
          <w:szCs w:val="20"/>
        </w:rPr>
      </w:r>
      <w:r w:rsidR="00A078AC">
        <w:rPr>
          <w:rFonts w:ascii="Calibri" w:eastAsia="Times New Roman" w:hAnsi="Calibri" w:cs="Times New Roman"/>
          <w:b/>
          <w:bCs/>
          <w:i/>
          <w:sz w:val="20"/>
          <w:szCs w:val="20"/>
        </w:rPr>
      </w:r>
    </w:p>
    <w:p w14:paraId="03619625" w14:textId="77777777" w:rsidR="007F1334" w:rsidRDefault="007F1334" w:rsidP="007F1334">
      <w:pPr>
        <w:pStyle w:val="Subtitle"/>
        <w:ind w:left="0"/>
        <w:jc w:val="both"/>
        <w:rPr>
          <w:rFonts w:ascii="Calibri" w:hAnsi="Calibri" w:cstheme="minorHAnsi"/>
          <w:bCs w:val="0"/>
          <w:sz w:val="20"/>
          <w:szCs w:val="20"/>
          <w:lang w:val="en-US"/>
        </w:rPr>
      </w:pPr>
      <w:r>
        <w:t>Сильные стороны:</w:t>
        <w:br/>
        <w:t>- Компания демонстрирует значительный опыт в оптовой торговле безалкогольными напитками, что способствовало формированию сильной и устойчивой рыночной позиции (Выдержки 1, 2).</w:t>
        <w:br/>
        <w:t>- PRODUCTS WATER соблюдает требования регулирующих органов и не подвержена рискам несоблюдения, что отражает наличие надежных внутренних контролей (Выдержка 6).</w:t>
        <w:br/>
        <w:t>- Компания занимает достойные позиции как в региональных, так и в отраслевых рейтингах по выручке, что свидетельствует о стабильной операционной деятельности (Выдержка 8).</w:t>
      </w:r>
    </w:p>
    <w:p>
      <w:r>
        <w:t>Слабые стороны:</w:t>
        <w:br/>
        <w:t>- Ожидается снижение ликвидности в 2024 и 2025 годах, хотя она останется в пределах допустимых норм; оборотный капитал несколько уменьшился из-за изменений в структуре активов и увеличения запасов (Выдержка 3).</w:t>
        <w:br/>
        <w:t>- Рейтинг стабильности компании в настоящее время составляет 'B' (средний), при этом наблюдается некоторая волатильность ежемесячных оценок, что указывает на потенциал для повышения финансовой устойчивости (Выдержки 9, 11, 13).</w:t>
      </w:r>
    </w:p>
    <w:p>
      <w:r>
        <w:t>Возможности:</w:t>
        <w:br/>
        <w:t>- Устоявшееся рыночное присутствие компании и статус официального дистрибьютора с августа 2023 года создают платформу для дальнейшего расширения на рынке и укрепления конкурентных позиций (Выдержка 1).</w:t>
        <w:br/>
        <w:t>- Отсутствие прямого воздействия глобальной тарифной нестабильности позволяет компании работать в относительно стабильной внешней среде в Узбекистане (Выдержка 5).</w:t>
      </w:r>
    </w:p>
    <w:p>
      <w:r>
        <w:t>Угрозы:</w:t>
        <w:br/>
        <w:t>- Операционный цикл увеличился из-за роста запасов, что может негативно сказаться на управлении денежными потоками, если не будут приняты соответствующие меры (Выдержка 3).</w:t>
        <w:br/>
        <w:t>- Рейтинг стабильности компании, несмотря на средний уровень, указывает на подверженность потенциальным внешним шокам или операционным сбоям, которые могут повлиять на общую кредитоспособность (Выдержки 9, 11).</w:t>
      </w:r>
    </w:p>
    <w:p w14:paraId="3623787B" w14:textId="77777777" w:rsidR="002B62EA" w:rsidRDefault="002B62EA" w:rsidP="007F1334">
      <w:pPr>
        <w:pStyle w:val="Subtitle"/>
        <w:ind w:left="0"/>
        <w:jc w:val="both"/>
        <w:rPr>
          <w:rFonts w:ascii="Calibri" w:hAnsi="Calibri" w:cstheme="minorHAnsi"/>
          <w:bCs w:val="0"/>
          <w:sz w:val="20"/>
          <w:szCs w:val="20"/>
          <w:lang w:val="en-US"/>
        </w:rPr>
      </w:pPr>
    </w:p>
    <w:p w14:paraId="50A8687E" w14:textId="77777777" w:rsidR="002B62EA" w:rsidRPr="00A6113C" w:rsidRDefault="002B62EA" w:rsidP="007F1334">
      <w:pPr>
        <w:pStyle w:val="Subtitle"/>
        <w:ind w:left="0"/>
        <w:jc w:val="both"/>
        <w:rPr>
          <w:rFonts w:ascii="Calibri" w:hAnsi="Calibri" w:cstheme="minorHAnsi"/>
          <w:bCs w:val="0"/>
          <w:sz w:val="20"/>
          <w:szCs w:val="20"/>
          <w:lang w:val="en-US"/>
        </w:rPr>
      </w:pPr>
    </w:p>
    <w:p w14:paraId="0793AC93" w14:textId="0AE4C77C" w:rsidR="00BA6547" w:rsidRDefault="00C26331" w:rsidP="002E7FEB">
      <w:pPr>
        <w:pStyle w:val="CommentText"/>
        <w:jc w:val="both"/>
        <w:rPr>
          <w:rFonts w:asciiTheme="minorHAnsi" w:hAnsiTheme="minorHAnsi" w:cstheme="minorHAnsi"/>
          <w:b/>
          <w:bCs/>
          <w:i/>
        </w:rPr>
      </w:pPr>
      <w:r w:rsidRPr="009733F9">
        <w:rPr>
          <w:rFonts w:asciiTheme="minorHAnsi" w:hAnsiTheme="minorHAnsi" w:cstheme="minorHAnsi"/>
          <w:b/>
          <w:bCs/>
          <w:i/>
        </w:rPr>
        <w:t>Environmental social governance (ESG) risks:</w:t>
      </w:r>
      <w:r w:rsidR="005C3570" w:rsidRPr="009733F9">
        <w:rPr>
          <w:rFonts w:asciiTheme="minorHAnsi" w:hAnsiTheme="minorHAnsi" w:cstheme="minorHAnsi"/>
          <w:b/>
          <w:bCs/>
          <w:i/>
        </w:rPr>
      </w:r>
      <w:r w:rsidRPr="009733F9">
        <w:rPr>
          <w:rFonts w:asciiTheme="minorHAnsi" w:hAnsiTheme="minorHAnsi" w:cstheme="minorHAnsi"/>
          <w:b/>
          <w:bCs/>
          <w:i/>
        </w:rPr>
      </w:r>
      <w:r w:rsidR="005C3570" w:rsidRPr="009733F9">
        <w:rPr>
          <w:rFonts w:asciiTheme="minorHAnsi" w:hAnsiTheme="minorHAnsi" w:cstheme="minorHAnsi"/>
          <w:b/>
          <w:bCs/>
          <w:i/>
        </w:rPr>
      </w:r>
      <w:r w:rsidRPr="009733F9">
        <w:rPr>
          <w:rFonts w:asciiTheme="minorHAnsi" w:hAnsiTheme="minorHAnsi" w:cstheme="minorHAnsi"/>
          <w:b/>
          <w:bCs/>
          <w:i/>
        </w:rPr>
      </w:r>
      <w:r w:rsidR="005C3570" w:rsidRPr="009733F9">
        <w:rPr>
          <w:rFonts w:asciiTheme="minorHAnsi" w:hAnsiTheme="minorHAnsi" w:cstheme="minorHAnsi"/>
          <w:b/>
          <w:bCs/>
          <w:i/>
        </w:rPr>
      </w:r>
      <w:r w:rsidR="00E5469E" w:rsidRPr="009733F9">
        <w:rPr>
          <w:rFonts w:asciiTheme="minorHAnsi" w:hAnsiTheme="minorHAnsi" w:cstheme="minorHAnsi"/>
          <w:b/>
          <w:bCs/>
          <w:i/>
        </w:rPr>
      </w:r>
      <w:r w:rsidR="009733F9" w:rsidRPr="009733F9">
        <w:rPr>
          <w:rFonts w:asciiTheme="minorHAnsi" w:hAnsiTheme="minorHAnsi" w:cstheme="minorHAnsi"/>
          <w:b/>
          <w:bCs/>
          <w:i/>
        </w:rPr>
      </w:r>
      <w:r w:rsidR="00E37531" w:rsidRPr="009733F9">
        <w:rPr>
          <w:rFonts w:asciiTheme="minorHAnsi" w:hAnsiTheme="minorHAnsi" w:cstheme="minorHAnsi"/>
          <w:b/>
          <w:bCs/>
          <w:i/>
        </w:rPr>
      </w:r>
    </w:p>
    <w:p w14:paraId="6B8B71DE" w14:textId="77777777" w:rsidR="00AD0F1E" w:rsidRDefault="00AD0F1E" w:rsidP="007F1334">
      <w:pPr>
        <w:spacing w:after="0" w:line="240" w:lineRule="auto"/>
        <w:jc w:val="both"/>
        <w:rPr>
          <w:rFonts w:cstheme="minorHAnsi"/>
          <w:b/>
          <w:i/>
          <w:color w:val="000000"/>
          <w:sz w:val="20"/>
          <w:szCs w:val="20"/>
        </w:rPr>
      </w:pPr>
      <w:r>
        <w:t>Профиль ESG-рисков для PRODUCTS WATER MCHJ оценивается как низкий, что отражает соблюдение компанией нормативных требований и отсутствие рисков несоблюдения. Компания осуществляет деятельность в сфере оптовой торговли безалкогольными напитками в Узбекистане, что связано с ограниченным прямым воздействием на окружающую среду и минимальной подверженностью климатическим рискам. Существенные экологические обязательства или инциденты не выявлены.</w:t>
      </w:r>
    </w:p>
    <w:p>
      <w:r>
        <w:t>Социальные факторы стабильны, отсутствуют свидетельства трудовых споров или негативного воздействия на местные сообщества. Компания соблюдает трудовое и налоговое законодательство, что подтверждается своевременной регистрацией электронных счетов-фактур и отсутствием судебных разбирательств или реструктуризаций через суды за последние 12 месяцев.</w:t>
      </w:r>
    </w:p>
    <w:p>
      <w:r>
        <w:t>Качество корпоративного управления оценивается как удовлетворительное. За последнее время не было изменений в руководстве или признаков недоверия к основателям или топ-менеджменту. Компания также оперативно устраняла выявленные налоговыми органами недостатки, что дополнительно подтверждает стабильность управления.</w:t>
      </w:r>
    </w:p>
    <w:p>
      <w:r>
        <w:t>Последний рейтинг, связанный с ESG, основанный на индексе стабильности, составляет 'B - 61', что классифицируется как средний уровень. Этот рейтинг, а также низкий профиль рисков несоблюдения и AML, подтверждают вывод о том, что ESG-риски хорошо контролируются и в настоящее время не представляют существенной угрозы.</w:t>
      </w:r>
    </w:p>
    <w:p w14:paraId="6E6E98AF" w14:textId="77777777" w:rsidR="002B62EA" w:rsidRDefault="002B62EA" w:rsidP="007F1334">
      <w:pPr>
        <w:spacing w:after="0" w:line="240" w:lineRule="auto"/>
        <w:jc w:val="both"/>
        <w:rPr>
          <w:rFonts w:cstheme="minorHAnsi"/>
          <w:b/>
          <w:i/>
          <w:color w:val="000000"/>
          <w:sz w:val="20"/>
          <w:szCs w:val="20"/>
        </w:rPr>
      </w:pPr>
    </w:p>
    <w:p w14:paraId="0D2A39D6" w14:textId="77777777" w:rsidR="002B62EA" w:rsidRPr="009733F9" w:rsidRDefault="002B62EA" w:rsidP="007F1334">
      <w:pPr>
        <w:spacing w:after="0" w:line="240" w:lineRule="auto"/>
        <w:jc w:val="both"/>
        <w:rPr>
          <w:rFonts w:cstheme="minorHAnsi"/>
          <w:b/>
          <w:i/>
          <w:color w:val="000000"/>
          <w:sz w:val="20"/>
          <w:szCs w:val="20"/>
        </w:rPr>
      </w:pPr>
    </w:p>
    <w:p w14:paraId="7572189C" w14:textId="77777777" w:rsidR="002B62EA" w:rsidRDefault="002B62EA" w:rsidP="007F1334">
      <w:pPr>
        <w:spacing w:after="0" w:line="240" w:lineRule="auto"/>
        <w:jc w:val="both"/>
        <w:rPr>
          <w:rFonts w:cstheme="minorHAnsi"/>
          <w:b/>
          <w:i/>
          <w:iCs/>
          <w:color w:val="000000"/>
          <w:sz w:val="20"/>
          <w:szCs w:val="20"/>
        </w:rPr>
      </w:pPr>
    </w:p>
    <w:p w14:paraId="57C53CC1" w14:textId="3A47F440" w:rsidR="001009E4" w:rsidRPr="009733F9" w:rsidRDefault="007F1334" w:rsidP="007F1334">
      <w:pPr>
        <w:spacing w:after="0" w:line="240" w:lineRule="auto"/>
        <w:jc w:val="both"/>
        <w:rPr>
          <w:rFonts w:cstheme="minorHAnsi"/>
          <w:b/>
          <w:bCs/>
          <w:i/>
          <w:iCs/>
          <w:sz w:val="20"/>
          <w:szCs w:val="20"/>
        </w:rPr>
      </w:pPr>
      <w:r w:rsidRPr="009733F9">
        <w:rPr>
          <w:rFonts w:cstheme="minorHAnsi"/>
          <w:b/>
          <w:i/>
          <w:iCs/>
          <w:color w:val="000000"/>
          <w:sz w:val="20"/>
          <w:szCs w:val="20"/>
        </w:rPr>
        <w:t>Financial risk →</w:t>
      </w:r>
      <w:r w:rsidRPr="009733F9">
        <w:rPr>
          <w:rFonts w:cstheme="minorHAnsi"/>
          <w:b/>
          <w:bCs/>
          <w:i/>
          <w:iCs/>
          <w:sz w:val="20"/>
          <w:szCs w:val="20"/>
        </w:rPr>
      </w:r>
      <w:sdt>
        <w:sdtPr>
          <w:rPr>
            <w:rFonts w:cstheme="minorHAnsi"/>
            <w:b/>
            <w:bCs/>
            <w:i/>
            <w:iCs/>
            <w:sz w:val="20"/>
            <w:szCs w:val="20"/>
          </w:rPr>
          <w:id w:val="-1381855856"/>
          <w:lock w:val="sdtLocked"/>
          <w:placeholder>
            <w:docPart w:val="DefaultPlaceholder_-1854013438"/>
          </w:placeholder>
          <w:dropDownList>
            <w:listItem w:displayText="Low" w:value="Low"/>
            <w:listItem w:displayText="Moderate" w:value="Moderate"/>
            <w:listItem w:displayText="High" w:value="High"/>
          </w:dropDownList>
        </w:sdtPr>
        <w:sdtContent>
          <w:r w:rsidR="00874A04">
            <w:rPr>
              <w:rFonts w:cstheme="minorHAnsi"/>
              <w:b/>
              <w:bCs/>
              <w:i/>
              <w:iCs/>
              <w:sz w:val="20"/>
              <w:szCs w:val="20"/>
            </w:rPr>
            <w:t>Low</w:t>
          </w:r>
        </w:sdtContent>
      </w:sdt>
    </w:p>
    <w:p w14:paraId="2B8D0897" w14:textId="77777777" w:rsidR="002B62EA" w:rsidRDefault="002B62EA" w:rsidP="002F048D">
      <w:pPr>
        <w:spacing w:before="60" w:after="60"/>
        <w:ind w:right="-425"/>
        <w:jc w:val="both"/>
        <w:rPr>
          <w:rFonts w:cstheme="minorHAnsi"/>
          <w:i/>
          <w:iCs/>
          <w:noProof/>
          <w:sz w:val="20"/>
          <w:szCs w:val="20"/>
          <w:lang w:val="en-GB"/>
        </w:rPr>
      </w:pPr>
      <w:r>
        <w:t>Компания демонстрирует устойчивый рост выручки: ожидаемая выручка на 2025 год составляет 125,3 млрд UZS, что на 13% выше показателя предыдущего года и соответствует высокому среднегодовому темпу роста на уровне 18–20%. Данная положительная динамика обусловлена стабильным спросом на оптовом рынке безалкогольных напитков. Однако рентабельность остается умеренной: маржа EBITDA увеличивается с 1,3% в 2024 году до 1,8% в 2025 году, а с 2026 года прогнозируется значительный рост до более чем 20%, что свидетельствует о предполагаемом повышении операционной эффективности и расширении маржи.</w:t>
      </w:r>
    </w:p>
    <w:p>
      <w:r>
        <w:t>Показатели ликвидности, несмотря на снижение с 6,4x в 2024 году до 4,2x в 2025 году и далее до 1,6x в 2026 году, остаются на приемлемом уровне в краткосрочной перспективе. Оборотный капитал несколько сократился из-за ускорения оборачиваемости и изменений в структуре активов, однако остается достаточным для поддержки текущей деятельности. Долговая нагрузка оценивается как умеренная: показатели левериджа и график погашения основного долга находятся в пределах управляемых значений. В целом, профиль финансовых рисков остается стабильным благодаря сильному росту выручки и контролируемому уровню левериджа, однако тенденция к снижению ликвидности и пока еще низкие показатели рентабельности требуют постоянного мониторинга.</w:t>
      </w:r>
    </w:p>
    <w:p w14:paraId="03207FF8" w14:textId="77777777" w:rsidR="002B62EA" w:rsidRDefault="002B62EA" w:rsidP="002F048D">
      <w:pPr>
        <w:spacing w:before="60" w:after="60"/>
        <w:ind w:right="-425"/>
        <w:jc w:val="both"/>
        <w:rPr>
          <w:rFonts w:cstheme="minorHAnsi"/>
          <w:i/>
          <w:iCs/>
          <w:noProof/>
          <w:sz w:val="20"/>
          <w:szCs w:val="20"/>
          <w:lang w:val="en-GB"/>
        </w:rPr>
      </w:pPr>
    </w:p>
    <w:p w14:paraId="1834BD1E" w14:textId="77777777" w:rsidR="002B62EA" w:rsidRDefault="002B62EA" w:rsidP="002F048D">
      <w:pPr>
        <w:spacing w:before="60" w:after="60"/>
        <w:ind w:right="-425"/>
        <w:jc w:val="both"/>
        <w:rPr>
          <w:rFonts w:cstheme="minorHAnsi"/>
          <w:i/>
          <w:iCs/>
          <w:noProof/>
          <w:sz w:val="20"/>
          <w:szCs w:val="20"/>
          <w:lang w:val="en-GB"/>
        </w:rPr>
      </w:pPr>
    </w:p>
    <w:p w14:paraId="338497F2" w14:textId="10DA0D16" w:rsidR="001009E4" w:rsidRPr="00A6043A" w:rsidRDefault="001009E4" w:rsidP="002F048D">
      <w:pPr>
        <w:spacing w:before="60" w:after="60"/>
        <w:ind w:right="-425"/>
        <w:jc w:val="both"/>
        <w:rPr>
          <w:rFonts w:cstheme="minorHAnsi"/>
          <w:b/>
          <w:bCs/>
          <w:i/>
          <w:noProof/>
          <w:sz w:val="20"/>
          <w:szCs w:val="20"/>
          <w:u w:val="single"/>
          <w:lang w:val="en-GB"/>
        </w:rPr>
      </w:pPr>
      <w:r w:rsidRPr="00A6043A">
        <w:rPr>
          <w:rFonts w:cstheme="minorHAnsi"/>
          <w:b/>
          <w:bCs/>
          <w:i/>
          <w:noProof/>
          <w:sz w:val="20"/>
          <w:szCs w:val="20"/>
          <w:u w:val="single"/>
          <w:lang w:val="en-GB"/>
        </w:rPr>
        <w:t>Projections for the tenor of the proposed lending</w:t>
      </w:r>
      <w:r w:rsidR="0046032B" w:rsidRPr="00A6043A">
        <w:rPr>
          <w:rFonts w:cstheme="minorHAnsi"/>
          <w:b/>
          <w:bCs/>
          <w:i/>
          <w:noProof/>
          <w:sz w:val="20"/>
          <w:szCs w:val="20"/>
          <w:u w:val="single"/>
          <w:lang w:val="en-GB"/>
        </w:rPr>
      </w:r>
      <w:r w:rsidRPr="00A6043A">
        <w:rPr>
          <w:rFonts w:cstheme="minorHAnsi"/>
          <w:b/>
          <w:bCs/>
          <w:i/>
          <w:noProof/>
          <w:sz w:val="20"/>
          <w:szCs w:val="20"/>
          <w:u w:val="single"/>
          <w:lang w:val="en-GB"/>
        </w:rPr>
      </w:r>
    </w:p>
    <w:p w14:paraId="41B4A606" w14:textId="340F87DF" w:rsidR="001009E4" w:rsidRDefault="001009E4" w:rsidP="00275396">
      <w:pPr>
        <w:spacing w:after="0"/>
        <w:ind w:right="-426"/>
        <w:jc w:val="both"/>
        <w:rPr>
          <w:rFonts w:cstheme="minorHAnsi"/>
          <w:i/>
          <w:noProof/>
          <w:sz w:val="20"/>
          <w:szCs w:val="20"/>
          <w:lang w:val="en-GB"/>
        </w:rPr>
      </w:pPr>
      <w:r>
        <w:t>Прогноз выручки на период 2024–2028 годов демонстрирует устойчивый рост: общий доход, как ожидается, увеличится с 110,8 млрд сумов в 2024 году до 226,6 млрд сумов к 2028 году. Это соответствует среднегодовому темпу роста (CAGR) примерно 18–20%, что обусловлено стабильным спросом на безалкогольные напитки в климатических условиях Узбекистана и устоявшимися позициями компании в секторе оптовой торговли. Предположения по выручке подтверждаются историческими тенденциями роста и динамикой рыночного спроса.</w:t>
      </w:r>
    </w:p>
    <w:p>
      <w:r>
        <w:t>Ожидается значительный рост EBITDA: с 1,45 млрд сумов в 2024 году до 65,9 млрд сумов в 2028 году, при этом маржа EBITDA увеличится с 1,3% до 21,8% за тот же период. Такой резкий рост маржи прогнозируется по мере масштабирования деятельности компании и получения выгод от повышения эффективности и увеличения объемов продаж. Прогнозируемые показатели EBITDA обеспечивают прочную основу для обслуживания долга.</w:t>
      </w:r>
    </w:p>
    <w:p>
      <w:r>
        <w:t>Обязательства по обслуживанию долга структурированы с началом погашения основного долга в 2025 году и пиком выплат в 2026 году (20,1 млрд сумов), после чего выплаты стабилизируются на уровне 12 млрд сумов ежегодно. Улучшающиеся показатели EBITDA и ликвидности компании свидетельствуют о достаточной способности обслуживать долг на протяжении всего срока кредита. Хотя явные расчеты DSCR не предоставлены, выраженная положительная динамика операционного денежного потока и коэффициентов ликвидности (снижающихся, но остающихся выше 1,6x до 2026 года) указывает на удовлетворительную способность выполнять долговые обязательства.</w:t>
      </w:r>
    </w:p>
    <w:p>
      <w:r>
        <w:t>Анализ чувствительности косвенно отражен через консервативные предположения по росту выручки и устойчивость спроса на продукцию компании. Тем не менее, быстрый рост маржи EBITDA требует пристального мониторинга, поскольку любое отклонение от прогнозируемых показателей эффективности может повлиять на коэффициенты покрытия. Высокий уровень ликвидности и оборотного капитала выступают в качестве факторов, смягчающих возможную волатильность денежных потоков.</w:t>
      </w:r>
    </w:p>
    <w:p w14:paraId="6521BBB5" w14:textId="77777777" w:rsidR="002B62EA" w:rsidRPr="009B2B9D" w:rsidRDefault="002B62EA" w:rsidP="00275396">
      <w:pPr>
        <w:spacing w:after="0"/>
        <w:ind w:right="-426"/>
        <w:jc w:val="both"/>
        <w:rPr>
          <w:rFonts w:cstheme="minorHAnsi"/>
          <w:i/>
          <w:noProof/>
          <w:sz w:val="20"/>
          <w:szCs w:val="20"/>
          <w:lang w:val="en-GB"/>
        </w:rPr>
      </w:pPr>
    </w:p>
    <w:p w14:paraId="4A521031" w14:textId="5A2AF81A" w:rsidR="001009E4" w:rsidRDefault="001009E4" w:rsidP="00275396">
      <w:pPr>
        <w:spacing w:after="0"/>
        <w:ind w:right="-426"/>
        <w:jc w:val="both"/>
        <w:rPr>
          <w:rFonts w:cstheme="minorHAnsi"/>
          <w:i/>
          <w:noProof/>
          <w:sz w:val="20"/>
          <w:szCs w:val="20"/>
          <w:lang w:val="en-GB"/>
        </w:rPr>
      </w:pPr>
      <w:r w:rsidRPr="009B2B9D">
        <w:rPr>
          <w:rFonts w:cstheme="minorHAnsi"/>
          <w:b/>
          <w:i/>
          <w:noProof/>
          <w:sz w:val="20"/>
          <w:szCs w:val="20"/>
          <w:lang w:val="en-GB"/>
        </w:rPr>
        <w:t>Bank / Base case assumptions</w:t>
      </w:r>
      <w:r w:rsidRPr="009B2B9D">
        <w:rPr>
          <w:rFonts w:cstheme="minorHAnsi"/>
          <w:i/>
          <w:noProof/>
          <w:sz w:val="20"/>
          <w:szCs w:val="20"/>
          <w:lang w:val="en-GB"/>
        </w:rPr>
      </w:r>
      <w:r w:rsidRPr="009B2B9D">
        <w:rPr>
          <w:rFonts w:cstheme="minorHAnsi"/>
          <w:i/>
          <w:noProof/>
          <w:sz w:val="20"/>
          <w:szCs w:val="20"/>
          <w:lang w:val="en-GB"/>
        </w:rPr>
      </w:r>
      <w:r w:rsidRPr="009B2B9D">
        <w:rPr>
          <w:rFonts w:cstheme="minorHAnsi"/>
          <w:i/>
          <w:noProof/>
          <w:sz w:val="20"/>
          <w:szCs w:val="20"/>
          <w:lang w:val="en-GB"/>
        </w:rPr>
      </w:r>
    </w:p>
    <w:p w14:paraId="7B950395" w14:textId="77777777" w:rsidR="002B62EA" w:rsidRDefault="002B62EA" w:rsidP="00275396">
      <w:pPr>
        <w:spacing w:after="0"/>
        <w:ind w:right="-426"/>
        <w:jc w:val="both"/>
        <w:rPr>
          <w:rFonts w:cstheme="minorHAnsi"/>
          <w:i/>
          <w:noProof/>
          <w:sz w:val="20"/>
          <w:szCs w:val="20"/>
          <w:lang w:val="en-GB"/>
        </w:rPr>
      </w:pPr>
      <w:r>
        <w:t>Базовый сценарий предполагает продолжение устойчивого роста выручки, обусловленного сохраняющимся высоким спросом на безалкогольные напитки в жарком климате Узбекистана и устоявшимися позициями компании в секторе оптовой торговли. Прогнозируемая выручка на 2025 год составляет 125,3 млрд UZS, что на 13% выше показателя предыдущего года. Исторические данные подтверждают среднегодовой темп роста выручки на уровне 18–20%, который, как ожидается, сохранится благодаря благоприятной динамике сектора и доказанной способности компании к расширению.</w:t>
      </w:r>
    </w:p>
    <w:p>
      <w:r>
        <w:t>Предположения по затратам отражаются в улучшении EBITDA margin, который, как ожидается, вырастет с 1,3% в 2024 году до 1,8% в 2025 году и превысит 20% в последующие годы. Расширение маржи объясняется повышением операционной эффективности и эффектом масштаба по мере роста компании. Структура затрат, как ожидается, останется стабильной, без существенного увеличения стоимости сырья и материалов в краткосрочной перспективе.</w:t>
      </w:r>
    </w:p>
    <w:p>
      <w:r>
        <w:t>Предположения по оборотному капиталу основаны на продолжающихся усилиях компании по оптимизации управления запасами и дебиторской задолженностью. Несмотря на то, что оборотный капитал увеличился с 6,2 млрд UZS на начало 2024 года до 9,1 млрд UZS на начало 2025 года, это связано в первую очередь с ростом запасов для поддержки увеличения выручки. Коэффициенты ликвидности, хотя и снизились с 6,4x до 4,2x за тот же период, остаются в пределах допустимых норм, что свидетельствует о сохранении компанией достаточной краткосрочной финансовой гибкости. Кредитная линия предназначена для дальнейшей поддержки потребностей в оборотном капитале, обеспечивая компании возможность использовать рыночные возможности без ограничений по ликвидности.</w:t>
      </w:r>
    </w:p>
    <w:p w14:paraId="7BFF803F" w14:textId="77777777" w:rsidR="002B62EA" w:rsidRPr="009B2B9D" w:rsidRDefault="002B62EA" w:rsidP="00275396">
      <w:pPr>
        <w:spacing w:after="0"/>
        <w:ind w:right="-426"/>
        <w:jc w:val="both"/>
        <w:rPr>
          <w:rFonts w:cstheme="minorHAnsi"/>
          <w:i/>
          <w:noProof/>
          <w:sz w:val="20"/>
          <w:szCs w:val="20"/>
          <w:lang w:val="en-GB"/>
        </w:rPr>
      </w:pPr>
    </w:p>
    <w:p w14:paraId="067AE1CC" w14:textId="13E7E33B" w:rsidR="007F1334" w:rsidRDefault="001009E4" w:rsidP="007B60BF">
      <w:pPr>
        <w:spacing w:after="0"/>
        <w:ind w:right="49"/>
        <w:jc w:val="both"/>
        <w:rPr>
          <w:rFonts w:cstheme="minorHAnsi"/>
          <w:i/>
          <w:noProof/>
          <w:sz w:val="20"/>
          <w:szCs w:val="20"/>
          <w:lang w:val="en-GB"/>
        </w:rPr>
      </w:pPr>
      <w:r w:rsidRPr="009B2B9D">
        <w:rPr>
          <w:rFonts w:cstheme="minorHAnsi"/>
          <w:b/>
          <w:bCs/>
          <w:i/>
          <w:noProof/>
          <w:sz w:val="20"/>
          <w:szCs w:val="20"/>
          <w:lang w:val="en-GB"/>
        </w:rPr>
        <w:t>Break-even calculations / Downside scenario</w:t>
      </w:r>
      <w:r w:rsidR="00275396" w:rsidRPr="009B2B9D">
        <w:rPr>
          <w:rFonts w:cstheme="minorHAnsi"/>
          <w:i/>
          <w:noProof/>
          <w:sz w:val="20"/>
          <w:szCs w:val="20"/>
          <w:lang w:val="en-GB"/>
        </w:rPr>
      </w:r>
      <w:r w:rsidR="00275396" w:rsidRPr="009B2B9D">
        <w:rPr>
          <w:rFonts w:cstheme="minorHAnsi"/>
          <w:i/>
          <w:noProof/>
          <w:sz w:val="20"/>
          <w:szCs w:val="20"/>
          <w:lang w:val="en-GB"/>
        </w:rPr>
      </w:r>
      <w:r w:rsidR="00275396" w:rsidRPr="009B2B9D">
        <w:rPr>
          <w:rFonts w:cstheme="minorHAnsi"/>
          <w:i/>
          <w:noProof/>
          <w:sz w:val="20"/>
          <w:szCs w:val="20"/>
          <w:lang w:val="en-GB"/>
        </w:rPr>
      </w:r>
    </w:p>
    <w:p w14:paraId="563B0CE6" w14:textId="77777777" w:rsidR="002B62EA" w:rsidRDefault="002B62EA" w:rsidP="007B60BF">
      <w:pPr>
        <w:spacing w:after="0"/>
        <w:ind w:right="49"/>
        <w:jc w:val="both"/>
        <w:rPr>
          <w:rFonts w:cstheme="minorHAnsi"/>
          <w:i/>
          <w:noProof/>
          <w:sz w:val="20"/>
          <w:szCs w:val="20"/>
          <w:lang w:val="en-GB"/>
        </w:rPr>
      </w:pPr>
      <w:r>
        <w:t>Анализ финансовых прогнозов компании указывает на значительное улучшение прибыльности и способности обслуживать долг в прогнозируемом периоде. В 2025 году EBITDA прогнозируется на уровне 2,3 млрд UZS с маржой EBITDA 1,8%, с резким увеличением до 32,1 млрд UZS и маржи 20,3% в 2026 году, с дальнейшим укреплением в последующие годы. Обязательства по обслуживанию долга начинаются в 2025 году с выплатой основного долга в размере 1,9 млрд UZS, увеличиваясь до 20,1 млрд UZS в 2026 году и стабилизируясь на уровне 12 млрд UZS ежегодно в дальнейшем.</w:t>
      </w:r>
    </w:p>
    <w:p>
      <w:r>
        <w:t>Согласно прогнозам на 2025 год, EBITDA компании покрывает требования по обслуживанию долга с небольшим запасом, что указывает на достижение точки безубыточности по обслуживанию долга при EBITDA примерно 2,3 млрд UZS. Любое существенное недовыполнение по выручке или марже в 2025 году может привести к DSCR ниже 1,0x, что потенциально ставит под угрозу своевременное погашение долга. Однако начиная с 2026 года прогнозируемая EBITDA обеспечивает значительный запас прочности: EBITDA превышает ежегодное обслуживание долга более чем в 1,5 раза, а маржа стабилизируется выше 20%.</w:t>
      </w:r>
    </w:p>
    <w:p>
      <w:r>
        <w:t>При стресс-тестировании негативного сценария, снижение выручки более чем на 10-15% в 2025 году или неспособность достичь ожидаемого улучшения маржи могут привести к недостаточному денежному потоку для выполнения долговых обязательств в этом году. Таким образом, запас прочности ограничен в первый год погашения, но значительно увеличивается по мере укрепления прибыльности. Сильная динамика роста выручки компании и устойчивость сектора к шокам спроса выступают факторами, смягчающими риски негативного развития событий.</w:t>
      </w:r>
    </w:p>
    <w:p w14:paraId="456D609E" w14:textId="77777777" w:rsidR="002B62EA" w:rsidRPr="009B2B9D" w:rsidRDefault="002B62EA" w:rsidP="007B60BF">
      <w:pPr>
        <w:spacing w:after="0"/>
        <w:ind w:right="49"/>
        <w:jc w:val="both"/>
        <w:rPr>
          <w:rFonts w:cstheme="minorHAnsi"/>
          <w:i/>
          <w:sz w:val="20"/>
          <w:szCs w:val="20"/>
        </w:rPr>
      </w:pPr>
    </w:p>
    <w:p w14:paraId="25CF0198" w14:textId="77777777" w:rsidR="008A2F79" w:rsidRDefault="008A2F79" w:rsidP="008A2F79">
      <w:pPr>
        <w:spacing w:after="0" w:line="240" w:lineRule="auto"/>
        <w:jc w:val="both"/>
        <w:rPr>
          <w:rFonts w:ascii="Calibri" w:hAnsi="Calibri" w:cstheme="minorHAnsi"/>
          <w:b/>
          <w:color w:val="000000"/>
          <w:sz w:val="20"/>
          <w:szCs w:val="20"/>
        </w:rPr>
      </w:pPr>
    </w:p>
    <w:p w14:paraId="1119040B" w14:textId="56CA3137" w:rsidR="007F1334" w:rsidRPr="00A6113C" w:rsidRDefault="007F1334" w:rsidP="008A2F79">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Bank relationship risk →</w:t>
      </w:r>
      <w:r w:rsidRPr="00A6113C">
        <w:rPr>
          <w:rFonts w:ascii="Calibri" w:hAnsi="Calibri" w:cstheme="minorHAnsi"/>
          <w:b/>
          <w:bCs/>
          <w:sz w:val="20"/>
          <w:szCs w:val="20"/>
        </w:rPr>
      </w:r>
      <w:sdt>
        <w:sdtPr>
          <w:rPr>
            <w:rFonts w:ascii="Calibri" w:hAnsi="Calibri" w:cstheme="minorHAnsi"/>
            <w:b/>
            <w:bCs/>
            <w:sz w:val="20"/>
            <w:szCs w:val="20"/>
          </w:rPr>
          <w:id w:val="-1691206252"/>
          <w:lock w:val="sdtLocked"/>
          <w:placeholder>
            <w:docPart w:val="DefaultPlaceholder_-1854013438"/>
          </w:placeholder>
          <w:dropDownList>
            <w:listItem w:displayText="Low" w:value="Low"/>
            <w:listItem w:displayText="Moderate" w:value="Moderate"/>
            <w:listItem w:displayText="High" w:value="High"/>
          </w:dropDownList>
        </w:sdtPr>
        <w:sdtContent>
          <w:r w:rsidR="008C7753">
            <w:rPr>
              <w:rFonts w:ascii="Calibri" w:hAnsi="Calibri" w:cstheme="minorHAnsi"/>
              <w:b/>
              <w:bCs/>
              <w:sz w:val="20"/>
              <w:szCs w:val="20"/>
            </w:rPr>
            <w:t>Low</w:t>
          </w:r>
        </w:sdtContent>
      </w:sdt>
    </w:p>
    <w:p w14:paraId="700119B0" w14:textId="10206059" w:rsidR="007F1334" w:rsidRDefault="007F1334" w:rsidP="00D03887">
      <w:pPr>
        <w:spacing w:after="0" w:line="240" w:lineRule="auto"/>
        <w:jc w:val="both"/>
        <w:rPr>
          <w:rFonts w:ascii="Calibri" w:hAnsi="Calibri"/>
          <w:i/>
          <w:sz w:val="20"/>
          <w:szCs w:val="20"/>
        </w:rPr>
      </w:pPr>
      <w:r>
        <w:t>Клиент демонстрирует значительную коммерческую ценность для банка, что подтверждается его классификацией как высокоценного клиента для филиала Yunusabad и положительной кредитной историей. Клиент поддерживал основные банковские отношения с Ipoteka Bank с 2021 года до октября 2024 года, после чего перешёл в National Bank, где в настоящее время открыт его основной счёт. Среднемесячный оборот по счёту остаётся высоким: в 2024 году он достиг 6,7 млрд UZS, а в 2025 году прогнозируется увеличение до 9,2 млрд UZS, что отражает рост масштабов бизнеса клиента и стабильный прирост выручки.</w:t>
      </w:r>
    </w:p>
    <w:p>
      <w:r>
        <w:t>Несмотря на то, что основной счёт клиента сейчас находится в другом банке, отношения с National Bank развиваются, и клиент выразил намерение расширить сотрудничество посредством дополнительных соглашений в будущем. Высокий внутренний рейтинг клиента (Class 1) и отсутствие просроченных платежей по действующим кредитным линиям дополнительно подчёркивают качество отношений. Глубина взаимодействия подтверждается готовностью клиента рассматривать дальнейшее сотрудничество, а признание банка стратегической значимости клиента снижает потенциальные риски, связанные с недавним переводом основной активности по счёту. Стабильные финансовые показатели клиента и положительная история соблюдения нормативных требований улучшают общий риск-профиль и поддерживают обоснованность для продолжения и расширения сотрудничества.</w:t>
      </w:r>
    </w:p>
    <w:p w14:paraId="01B296D5" w14:textId="77777777" w:rsidR="002B62EA" w:rsidRDefault="002B62EA" w:rsidP="00D03887">
      <w:pPr>
        <w:spacing w:after="0" w:line="240" w:lineRule="auto"/>
        <w:jc w:val="both"/>
        <w:rPr>
          <w:rFonts w:ascii="Calibri" w:hAnsi="Calibri"/>
          <w:i/>
          <w:sz w:val="20"/>
          <w:szCs w:val="20"/>
        </w:rPr>
      </w:pPr>
    </w:p>
    <w:p w14:paraId="30A4BC8E" w14:textId="77777777" w:rsidR="002B62EA" w:rsidRPr="00A6113C" w:rsidRDefault="002B62EA" w:rsidP="00D03887">
      <w:pPr>
        <w:spacing w:after="0" w:line="240" w:lineRule="auto"/>
        <w:jc w:val="both"/>
        <w:rPr>
          <w:rFonts w:ascii="Calibri" w:hAnsi="Calibri" w:cstheme="minorHAnsi"/>
          <w:b/>
          <w:bCs/>
          <w:i/>
          <w:sz w:val="20"/>
          <w:szCs w:val="20"/>
        </w:rPr>
      </w:pPr>
    </w:p>
    <w:p w14:paraId="7EF38457" w14:textId="77777777" w:rsidR="007F1334" w:rsidRPr="00A6113C" w:rsidRDefault="007F1334" w:rsidP="007F1334">
      <w:pPr>
        <w:spacing w:after="0" w:line="240" w:lineRule="auto"/>
        <w:jc w:val="both"/>
        <w:rPr>
          <w:rFonts w:ascii="Calibri" w:hAnsi="Calibri" w:cstheme="minorHAnsi"/>
          <w:b/>
          <w:color w:val="000000"/>
          <w:sz w:val="20"/>
          <w:szCs w:val="20"/>
        </w:rPr>
      </w:pPr>
    </w:p>
    <w:p w14:paraId="4345CD51" w14:textId="026E43C6" w:rsidR="00C4520B" w:rsidRDefault="00C4520B" w:rsidP="007F1334">
      <w:pPr>
        <w:spacing w:after="0" w:line="240" w:lineRule="auto"/>
        <w:jc w:val="both"/>
        <w:rPr>
          <w:rFonts w:ascii="Calibri" w:hAnsi="Calibri" w:cstheme="minorHAnsi"/>
          <w:b/>
          <w:color w:val="000000"/>
          <w:sz w:val="20"/>
          <w:szCs w:val="20"/>
        </w:rPr>
      </w:pPr>
      <w:r>
        <w:rPr>
          <w:rFonts w:ascii="Calibri" w:hAnsi="Calibri" w:cstheme="minorHAnsi"/>
          <w:b/>
          <w:color w:val="000000"/>
          <w:sz w:val="20"/>
          <w:szCs w:val="20"/>
        </w:rPr>
        <w:t>TRANSACTION RISK factors</w:t>
      </w:r>
    </w:p>
    <w:p w14:paraId="59FBBF21" w14:textId="77777777" w:rsidR="00C4520B" w:rsidRDefault="00C4520B" w:rsidP="007F1334">
      <w:pPr>
        <w:spacing w:after="0" w:line="240" w:lineRule="auto"/>
        <w:jc w:val="both"/>
        <w:rPr>
          <w:rFonts w:ascii="Calibri" w:hAnsi="Calibri" w:cstheme="minorHAnsi"/>
          <w:b/>
          <w:color w:val="000000"/>
          <w:sz w:val="20"/>
          <w:szCs w:val="20"/>
        </w:rPr>
      </w:pPr>
    </w:p>
    <w:p w14:paraId="5F29035A" w14:textId="7B06803B" w:rsidR="007F1334" w:rsidRPr="00A6113C" w:rsidRDefault="007F1334" w:rsidP="007F1334">
      <w:pPr>
        <w:spacing w:after="0" w:line="240" w:lineRule="auto"/>
        <w:jc w:val="both"/>
        <w:rPr>
          <w:rFonts w:ascii="Calibri" w:hAnsi="Calibri" w:cstheme="minorHAnsi"/>
          <w:b/>
          <w:color w:val="000000"/>
          <w:sz w:val="20"/>
          <w:szCs w:val="20"/>
        </w:rPr>
      </w:pPr>
      <w:r w:rsidRPr="00A6113C">
        <w:rPr>
          <w:rFonts w:ascii="Calibri" w:hAnsi="Calibri" w:cstheme="minorHAnsi"/>
          <w:b/>
          <w:color w:val="000000"/>
          <w:sz w:val="20"/>
          <w:szCs w:val="20"/>
        </w:rPr>
        <w:t>Transactional risk →</w:t>
      </w:r>
      <w:r w:rsidRPr="00A6113C">
        <w:rPr>
          <w:rFonts w:ascii="Calibri" w:hAnsi="Calibri" w:cstheme="minorHAnsi"/>
          <w:b/>
          <w:bCs/>
          <w:sz w:val="20"/>
          <w:szCs w:val="20"/>
        </w:rPr>
      </w:r>
      <w:sdt>
        <w:sdtPr>
          <w:rPr>
            <w:rFonts w:ascii="Calibri" w:hAnsi="Calibri" w:cstheme="minorHAnsi"/>
            <w:b/>
            <w:bCs/>
            <w:sz w:val="20"/>
            <w:szCs w:val="20"/>
          </w:rPr>
          <w:id w:val="-666860664"/>
          <w:lock w:val="sdtLocked"/>
          <w:placeholder>
            <w:docPart w:val="DefaultPlaceholder_-1854013438"/>
          </w:placeholder>
          <w:dropDownList>
            <w:listItem w:displayText="Low" w:value="Low"/>
            <w:listItem w:displayText="Moderate" w:value="Moderate"/>
            <w:listItem w:displayText="High" w:value="High"/>
          </w:dropDownList>
        </w:sdtPr>
        <w:sdtContent>
          <w:r w:rsidR="00576387">
            <w:rPr>
              <w:rFonts w:ascii="Calibri" w:hAnsi="Calibri" w:cstheme="minorHAnsi"/>
              <w:b/>
              <w:bCs/>
              <w:sz w:val="20"/>
              <w:szCs w:val="20"/>
            </w:rPr>
            <w:t>Low</w:t>
          </w:r>
        </w:sdtContent>
      </w:sdt>
    </w:p>
    <w:p w14:paraId="4BA3C27F" w14:textId="77777777" w:rsidR="00F25541" w:rsidRDefault="00F25541" w:rsidP="00790DFE">
      <w:pPr>
        <w:pStyle w:val="BodyTextIndent2"/>
        <w:numPr>
          <w:ilvl w:val="0"/>
          <w:numId w:val="0"/>
        </w:numPr>
        <w:tabs>
          <w:tab w:val="num" w:pos="720"/>
        </w:tabs>
        <w:spacing w:line="276" w:lineRule="auto"/>
        <w:rPr>
          <w:rFonts w:asciiTheme="minorHAnsi" w:hAnsiTheme="minorHAnsi" w:cstheme="minorHAnsi"/>
          <w:b/>
          <w:bCs/>
          <w:sz w:val="20"/>
          <w:szCs w:val="20"/>
        </w:rPr>
      </w:pPr>
      <w:r>
        <w:t>Предлагаемая сделка структурирована как возобновляемая кредитная линия с общим лимитом в USD 1,000,000 и сроком на 36 месяцев, при этом каждый выбор средств осуществляется на срок 12 месяцев, а погашение основного долга производится равными долями в течение последних трех месяцев каждого цикла. Основная цель предоставления кредитной линии — финансирование оборотного капитала для закупки безалкогольных напитков, сектор которых характеризуется высокой оборачиваемостью и стабильным спросом в условиях жаркого климата Узбекистана, что поддерживает надежность формирования денежных потоков для обслуживания долга. Основным источником погашения является операционный денежный поток заемщика от оптовых продаж напитков, что дополнительно поддерживается высоким внутренним рейтингом компании (1st class) и положительной историей своевременного обслуживания долга, что подтверждается отсутствием просроченных платежей по существующим кредитным линиям.</w:t>
      </w:r>
    </w:p>
    <w:p>
      <w:r>
        <w:t>Риск по обеспечению снижен за счет ипотеки на недвижимость, принадлежащую аффилированной компании CONGLOMATARE PRODUCTS, с коэффициентами покрытия, соответствующими требованиям внутренней кредитной политики. Выдача средств регулируется стандартной кредитной политикой и паспортом продукта S-3, что обеспечивает соблюдение внутренних контрольных процедур. В целом, структура сделки и источники погашения являются устойчивыми, однако желтый промышленный риск сектора требует постоянного мониторинга.</w:t>
      </w:r>
    </w:p>
    <w:p w14:paraId="198D174B"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b/>
          <w:bCs/>
          <w:sz w:val="20"/>
          <w:szCs w:val="20"/>
        </w:rPr>
      </w:pPr>
    </w:p>
    <w:p w14:paraId="63DDC2A2"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b/>
          <w:bCs/>
          <w:sz w:val="20"/>
          <w:szCs w:val="20"/>
        </w:rPr>
      </w:pPr>
    </w:p>
    <w:p w14:paraId="79E1339C" w14:textId="50E5782D" w:rsidR="00F17EE6" w:rsidRDefault="00F25541" w:rsidP="00790DFE">
      <w:pPr>
        <w:pStyle w:val="BodyTextIndent2"/>
        <w:numPr>
          <w:ilvl w:val="0"/>
          <w:numId w:val="0"/>
        </w:numPr>
        <w:tabs>
          <w:tab w:val="num" w:pos="720"/>
        </w:tabs>
        <w:spacing w:line="276" w:lineRule="auto"/>
        <w:rPr>
          <w:rFonts w:ascii="Calibri" w:hAnsi="Calibri" w:cstheme="minorHAnsi"/>
          <w:b/>
          <w:bCs/>
          <w:sz w:val="20"/>
          <w:szCs w:val="20"/>
        </w:rPr>
      </w:pPr>
      <w:r>
        <w:rPr>
          <w:rFonts w:asciiTheme="minorHAnsi" w:hAnsiTheme="minorHAnsi" w:cstheme="minorHAnsi"/>
          <w:b/>
          <w:bCs/>
          <w:sz w:val="20"/>
          <w:szCs w:val="20"/>
        </w:rPr>
        <w:t>Collateral risk →</w:t>
      </w:r>
      <w:r w:rsidRPr="00A6113C">
        <w:rPr>
          <w:rFonts w:ascii="Calibri" w:hAnsi="Calibri" w:cstheme="minorHAnsi"/>
          <w:b/>
          <w:bCs/>
          <w:sz w:val="20"/>
          <w:szCs w:val="20"/>
        </w:rPr>
      </w:r>
      <w:sdt>
        <w:sdtPr>
          <w:rPr>
            <w:rFonts w:ascii="Calibri" w:hAnsi="Calibri" w:cstheme="minorHAnsi"/>
            <w:b/>
            <w:bCs/>
            <w:sz w:val="20"/>
            <w:szCs w:val="20"/>
          </w:rPr>
          <w:id w:val="856932768"/>
          <w:lock w:val="sdtLocked"/>
          <w:placeholder>
            <w:docPart w:val="DefaultPlaceholder_-1854013438"/>
          </w:placeholder>
          <w:dropDownList>
            <w:listItem w:displayText="Low" w:value="Low"/>
            <w:listItem w:displayText="Medium" w:value="Medium"/>
            <w:listItem w:displayText="High" w:value="High"/>
          </w:dropDownList>
        </w:sdtPr>
        <w:sdtContent>
          <w:r w:rsidR="008A2F79">
            <w:rPr>
              <w:rFonts w:ascii="Calibri" w:hAnsi="Calibri" w:cstheme="minorHAnsi"/>
              <w:b/>
              <w:bCs/>
              <w:sz w:val="20"/>
              <w:szCs w:val="20"/>
            </w:rPr>
            <w:t>Low</w:t>
          </w:r>
        </w:sdtContent>
      </w:sdt>
    </w:p>
    <w:p w14:paraId="3351360C"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sz w:val="20"/>
          <w:szCs w:val="20"/>
        </w:rPr>
      </w:pPr>
      <w:r>
        <w:t>Обеспечением по предлагаемому кредитному продукту выступает недвижимость, принадлежащая LLC Conglomerate Solutions, что подтверждено в документации. Коэффициент покрытия обеспечением составляет 120%, что превышает стандартные минимальные требования и обеспечивает удовлетворительный буфер против возможного снижения стоимости обеспечения. Недвижимость классифицируется как недвижимое имущество, которое, как правило, обладает высокой рыночной ликвидностью в местном контексте, особенно с учетом указанного городского расположения. Оценка была проведена по согласованию с банком, что подтверждает достаточность заявленного покрытия. Юридическая обеспеченность подтверждается четким правом собственности и регистрацией обеспечения на имя аффилированного лица заемщика, что снижает риски, связанные с возвратом в случае дефолта.</w:t>
      </w:r>
    </w:p>
    <w:p w14:paraId="112DA6AB" w14:textId="77777777" w:rsidR="002B62EA" w:rsidRPr="00582B58" w:rsidRDefault="002B62EA" w:rsidP="00790DFE">
      <w:pPr>
        <w:pStyle w:val="BodyTextIndent2"/>
        <w:numPr>
          <w:ilvl w:val="0"/>
          <w:numId w:val="0"/>
        </w:numPr>
        <w:tabs>
          <w:tab w:val="num" w:pos="720"/>
        </w:tabs>
        <w:spacing w:line="276" w:lineRule="auto"/>
        <w:rPr>
          <w:rFonts w:asciiTheme="minorHAnsi" w:hAnsiTheme="minorHAnsi" w:cstheme="minorHAnsi"/>
          <w:sz w:val="20"/>
          <w:szCs w:val="20"/>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5A14B9" w:rsidRPr="00424480" w14:paraId="600343C6" w14:textId="77777777" w:rsidTr="006A6901">
        <w:trPr>
          <w:trHeight w:val="394"/>
        </w:trPr>
        <w:tc>
          <w:tcPr>
            <w:tcW w:w="13005" w:type="dxa"/>
            <w:shd w:val="clear" w:color="auto" w:fill="92D050"/>
            <w:vAlign w:val="center"/>
          </w:tcPr>
          <w:p w14:paraId="4F85EDDE" w14:textId="77777777" w:rsidR="005A14B9" w:rsidRPr="00424480" w:rsidRDefault="005A14B9" w:rsidP="006A6901">
            <w:pPr>
              <w:pStyle w:val="Subtitle"/>
              <w:numPr>
                <w:ilvl w:val="0"/>
                <w:numId w:val="3"/>
              </w:numPr>
              <w:spacing w:line="276" w:lineRule="auto"/>
              <w:ind w:left="0"/>
              <w:jc w:val="left"/>
              <w:rPr>
                <w:rFonts w:asciiTheme="minorHAnsi" w:hAnsiTheme="minorHAnsi" w:cstheme="minorHAnsi"/>
                <w:b w:val="0"/>
                <w:bCs w:val="0"/>
                <w:sz w:val="24"/>
                <w:szCs w:val="24"/>
                <w:lang w:val="en-GB"/>
              </w:rPr>
            </w:pPr>
            <w:r w:rsidRPr="00424480">
              <w:rPr>
                <w:rFonts w:asciiTheme="minorHAnsi" w:hAnsiTheme="minorHAnsi" w:cstheme="minorHAnsi"/>
                <w:bCs w:val="0"/>
                <w:sz w:val="24"/>
                <w:szCs w:val="24"/>
                <w:lang w:val="en-GB"/>
              </w:rPr>
              <w:t xml:space="preserve">III. </w:t>
            </w:r>
            <w:r w:rsidRPr="00424480">
              <w:rPr>
                <w:rFonts w:asciiTheme="minorHAnsi" w:hAnsiTheme="minorHAnsi" w:cstheme="minorHAnsi"/>
                <w:bCs w:val="0"/>
                <w:sz w:val="24"/>
                <w:szCs w:val="24"/>
              </w:rPr>
              <w:t>SUMMARY AND RISK PROPOSAL</w:t>
            </w:r>
          </w:p>
        </w:tc>
      </w:tr>
    </w:tbl>
    <w:p w14:paraId="14B13D17" w14:textId="77777777" w:rsidR="007F1334" w:rsidRDefault="007F1334" w:rsidP="006D7DC4">
      <w:pPr>
        <w:pStyle w:val="BodyTextIndent2"/>
        <w:numPr>
          <w:ilvl w:val="0"/>
          <w:numId w:val="0"/>
        </w:numPr>
        <w:tabs>
          <w:tab w:val="num" w:pos="720"/>
        </w:tabs>
        <w:spacing w:before="240"/>
        <w:rPr>
          <w:rFonts w:ascii="Calibri" w:hAnsi="Calibri" w:cstheme="minorHAnsi"/>
          <w:bCs/>
          <w:sz w:val="20"/>
          <w:szCs w:val="20"/>
        </w:rPr>
      </w:pPr>
      <w:r w:rsidRPr="00A6113C">
        <w:rPr>
          <w:rFonts w:ascii="Calibri" w:hAnsi="Calibri" w:cstheme="minorHAnsi"/>
          <w:bCs/>
          <w:sz w:val="20"/>
          <w:szCs w:val="20"/>
        </w:rPr>
        <w:t>Based on the financial statements and the forecasted business plan, the client может service the debt repayment properly.</w:t>
      </w:r>
      <w:r w:rsidRPr="00A6113C">
        <w:rPr>
          <w:rFonts w:ascii="Calibri" w:hAnsi="Calibri" w:cstheme="minorHAnsi"/>
          <w:b/>
          <w:bCs/>
          <w:sz w:val="20"/>
          <w:szCs w:val="20"/>
        </w:rPr>
      </w:r>
      <w:r w:rsidRPr="00A6113C">
        <w:rPr>
          <w:rFonts w:ascii="Calibri" w:hAnsi="Calibri" w:cstheme="minorHAnsi"/>
          <w:bCs/>
          <w:sz w:val="20"/>
          <w:szCs w:val="20"/>
        </w:rPr>
      </w:r>
    </w:p>
    <w:p w14:paraId="7374BF22" w14:textId="77777777" w:rsidR="007F1334" w:rsidRPr="00A6113C" w:rsidRDefault="007F1334" w:rsidP="007F1334">
      <w:pPr>
        <w:pStyle w:val="BodyTextIndent2"/>
        <w:numPr>
          <w:ilvl w:val="0"/>
          <w:numId w:val="0"/>
        </w:numPr>
        <w:tabs>
          <w:tab w:val="num" w:pos="720"/>
        </w:tabs>
        <w:rPr>
          <w:rFonts w:ascii="Calibri" w:hAnsi="Calibri" w:cstheme="minorHAnsi"/>
          <w:bCs/>
          <w:sz w:val="20"/>
          <w:szCs w:val="20"/>
        </w:rPr>
      </w:pPr>
    </w:p>
    <w:p w14:paraId="60D56646" w14:textId="74A14031" w:rsidR="007F1334" w:rsidRPr="00A6113C" w:rsidRDefault="001B18DF" w:rsidP="006352D0">
      <w:pPr>
        <w:pStyle w:val="BodyTextIndent2"/>
        <w:numPr>
          <w:ilvl w:val="0"/>
          <w:numId w:val="0"/>
        </w:numPr>
        <w:rPr>
          <w:rFonts w:ascii="Calibri" w:hAnsi="Calibri" w:cstheme="minorHAnsi"/>
          <w:b/>
          <w:bCs/>
          <w:sz w:val="20"/>
          <w:szCs w:val="20"/>
        </w:rPr>
      </w:pPr>
      <w:r>
        <w:rPr>
          <w:rFonts w:ascii="Calibri" w:hAnsi="Calibri" w:cstheme="minorHAnsi"/>
          <w:b/>
          <w:bCs/>
          <w:sz w:val="20"/>
          <w:szCs w:val="20"/>
        </w:rPr>
        <w:t xml:space="preserve">Listed </w:t>
      </w:r>
      <w:r w:rsidR="007F1334" w:rsidRPr="00A6113C">
        <w:rPr>
          <w:rFonts w:ascii="Calibri" w:hAnsi="Calibri" w:cstheme="minorHAnsi"/>
          <w:b/>
          <w:bCs/>
          <w:sz w:val="20"/>
          <w:szCs w:val="20"/>
        </w:rPr>
        <w:t>deviations</w:t>
      </w:r>
      <w:r>
        <w:rPr>
          <w:rFonts w:ascii="Calibri" w:hAnsi="Calibri" w:cstheme="minorHAnsi"/>
          <w:b/>
          <w:bCs/>
          <w:sz w:val="20"/>
          <w:szCs w:val="20"/>
        </w:rPr>
        <w:t xml:space="preserve">/ derogations </w:t>
      </w:r>
      <w:r w:rsidR="007F1334" w:rsidRPr="00A6113C">
        <w:rPr>
          <w:rFonts w:ascii="Calibri" w:hAnsi="Calibri" w:cstheme="minorHAnsi"/>
          <w:b/>
          <w:bCs/>
          <w:sz w:val="20"/>
          <w:szCs w:val="20"/>
        </w:rPr>
        <w:t xml:space="preserve">from the …… </w:t>
      </w:r>
      <w:r w:rsidR="00184690">
        <w:rPr>
          <w:rFonts w:ascii="Calibri" w:hAnsi="Calibri" w:cstheme="minorHAnsi"/>
          <w:b/>
          <w:bCs/>
          <w:sz w:val="20"/>
          <w:szCs w:val="20"/>
        </w:rPr>
        <w:t>OLLP</w:t>
      </w:r>
      <w:r w:rsidR="006352D0">
        <w:rPr>
          <w:rFonts w:ascii="Calibri" w:hAnsi="Calibri" w:cstheme="minorHAnsi"/>
          <w:b/>
          <w:bCs/>
          <w:sz w:val="20"/>
          <w:szCs w:val="20"/>
        </w:rPr>
        <w:t>, Credit Policy, Regulation, GCRP</w:t>
      </w:r>
      <w:r w:rsidR="00184690">
        <w:rPr>
          <w:rFonts w:ascii="Calibri" w:hAnsi="Calibri" w:cstheme="minorHAnsi"/>
          <w:b/>
          <w:bCs/>
          <w:sz w:val="20"/>
          <w:szCs w:val="20"/>
        </w:rPr>
        <w:t xml:space="preserve"> regulations</w:t>
      </w:r>
      <w:r>
        <w:rPr>
          <w:rFonts w:ascii="Calibri" w:hAnsi="Calibri" w:cstheme="minorHAnsi"/>
          <w:b/>
          <w:bCs/>
          <w:sz w:val="20"/>
          <w:szCs w:val="20"/>
        </w:rPr>
        <w:t xml:space="preserve"> to be approved</w:t>
      </w:r>
      <w:r w:rsidR="007F1334" w:rsidRPr="00A6113C">
        <w:rPr>
          <w:rFonts w:ascii="Calibri" w:hAnsi="Calibri" w:cstheme="minorHAnsi"/>
          <w:b/>
          <w:bCs/>
          <w:sz w:val="20"/>
          <w:szCs w:val="20"/>
        </w:rPr>
        <w:t>:</w:t>
      </w:r>
    </w:p>
    <w:p w14:paraId="75C16D0F"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Отклонений не выявлено.</w:t>
      </w:r>
    </w:p>
    <w:p w14:paraId="1881CC4B"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Н/Д.</w:t>
      </w:r>
    </w:p>
    <w:p w14:paraId="468705D4"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Дополнительные отклонения включают недавнюю смену обслуживающего банка компании: клиент перевел обслуживание из Ipoteka Bank (Ташкентский региональный филиал) в National Bank с октября 2024 года. Эта смена банковских отношений в течение последних 12 месяцев является отмеченным отклонением от стандартной практики и может потребовать дальнейшего мониторинга для обеспечения непрерывности финансовой отчетности и управления взаимоотношениями. На данном этапе других отклонений не выявлено.</w:t>
      </w:r>
    </w:p>
    <w:p w14:paraId="7486BAC8" w14:textId="596012D2" w:rsidR="007F1334" w:rsidRDefault="00A9666D" w:rsidP="007F1334">
      <w:pPr>
        <w:pStyle w:val="BodyTextIndent2"/>
        <w:numPr>
          <w:ilvl w:val="0"/>
          <w:numId w:val="0"/>
        </w:numPr>
        <w:tabs>
          <w:tab w:val="num" w:pos="720"/>
        </w:tabs>
        <w:rPr>
          <w:rFonts w:ascii="Calibri" w:hAnsi="Calibri" w:cstheme="minorHAnsi"/>
          <w:bCs/>
          <w:sz w:val="20"/>
          <w:szCs w:val="20"/>
        </w:rPr>
      </w:pPr>
      <w:r>
        <w:rPr>
          <w:rFonts w:ascii="Calibri" w:hAnsi="Calibri" w:cstheme="minorHAnsi"/>
          <w:bCs/>
          <w:sz w:val="20"/>
          <w:szCs w:val="20"/>
        </w:rPr>
        <w:t>The risk officer proposal is to одобрить the request as follows:</w:t>
      </w:r>
      <w:r w:rsidR="007F1334">
        <w:rPr>
          <w:rFonts w:ascii="Calibri" w:hAnsi="Calibri" w:cstheme="minorHAnsi"/>
          <w:bCs/>
          <w:sz w:val="20"/>
          <w:szCs w:val="20"/>
        </w:rPr>
      </w:r>
      <w:r w:rsidR="007F1334" w:rsidRPr="007F1334">
        <w:rPr>
          <w:rFonts w:ascii="Calibri" w:hAnsi="Calibri" w:cstheme="minorHAnsi"/>
          <w:b/>
          <w:bCs/>
          <w:sz w:val="20"/>
          <w:szCs w:val="20"/>
        </w:rPr>
      </w:r>
      <w:r w:rsidR="00C4520B">
        <w:rPr>
          <w:rFonts w:ascii="Calibri" w:hAnsi="Calibri" w:cstheme="minorHAnsi"/>
          <w:b/>
          <w:bCs/>
          <w:sz w:val="20"/>
          <w:szCs w:val="20"/>
        </w:rPr>
      </w:r>
      <w:r w:rsidR="007F1334">
        <w:rPr>
          <w:rFonts w:ascii="Calibri" w:hAnsi="Calibri" w:cstheme="minorHAnsi"/>
          <w:bCs/>
          <w:sz w:val="20"/>
          <w:szCs w:val="20"/>
        </w:rPr>
      </w:r>
    </w:p>
    <w:p w14:paraId="304E7234" w14:textId="77777777" w:rsidR="0089472A" w:rsidRDefault="0089472A" w:rsidP="0089472A">
      <w:pPr>
        <w:pStyle w:val="BodyTextIndent2"/>
        <w:numPr>
          <w:ilvl w:val="0"/>
          <w:numId w:val="0"/>
        </w:numPr>
        <w:rPr>
          <w:rFonts w:ascii="Calibri" w:hAnsi="Calibri" w:cstheme="minorHAnsi"/>
          <w:bCs/>
          <w:i/>
          <w:sz w:val="20"/>
          <w:szCs w:val="20"/>
        </w:rPr>
      </w:pPr>
    </w:p>
    <w:p w14:paraId="124EABFA" w14:textId="2FA3542E" w:rsidR="009212A5" w:rsidRPr="002433D0" w:rsidRDefault="006352D0" w:rsidP="006352D0">
      <w:pPr>
        <w:pStyle w:val="BodyTextIndent2"/>
        <w:numPr>
          <w:ilvl w:val="0"/>
          <w:numId w:val="0"/>
        </w:numPr>
        <w:rPr>
          <w:rFonts w:ascii="Calibri" w:hAnsi="Calibri" w:cstheme="minorHAnsi"/>
          <w:bCs/>
          <w:i/>
          <w:sz w:val="20"/>
          <w:szCs w:val="20"/>
        </w:rPr>
      </w:pPr>
      <w:r w:rsidRPr="002433D0">
        <w:rPr>
          <w:rFonts w:ascii="Calibri" w:hAnsi="Calibri" w:cstheme="minorHAnsi"/>
          <w:bCs/>
          <w:i/>
          <w:sz w:val="20"/>
          <w:szCs w:val="20"/>
        </w:rPr>
        <w:t>The mandatory conditions to be implemented should be organized in the following structure:</w:t>
      </w:r>
    </w:p>
    <w:p w14:paraId="31688C63" w14:textId="5230AD52" w:rsidR="004029DD" w:rsidRPr="002433D0" w:rsidRDefault="004029DD"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До подписания кредитного договора необходимо выполнение ряда предварительных условий. Заемщик, ООО "PRODUCTS WATER", обязан предоставить обеспечение в виде недвижимости, принадлежащей ООО "Conglomerate solutions", как указано в кредитной документации. Обеспечение должно соответствовать требованиям банка по коэффициенту покрытия, при этом текущая оценка указывает на соответствие внутренней политике с минимальным покрытием не менее 120%. Кроме того, внутренний рейтинг клиента должен быть не ниже класса 3; в настоящее время заемщик имеет рейтинг класса 1, что полностью соответствует требованиям.</w:t>
      </w:r>
      <w:r w:rsidR="00DA2CEF" w:rsidRPr="002433D0">
        <w:rPr>
          <w:rFonts w:ascii="Calibri" w:hAnsi="Calibri" w:cstheme="minorHAnsi"/>
          <w:bCs/>
          <w:i/>
          <w:sz w:val="20"/>
          <w:szCs w:val="20"/>
        </w:rPr>
      </w:r>
    </w:p>
    <w:p>
      <w:r>
        <w:t>Процентная ставка по кредитной линии установлена на уровне 10% годовых согласно официальному одобрению от 25.11.2025, что заменяет первоначальный запрос клиента на ставку 9%. Кроме того, после положительного кредитного решения от заемщика ожидается открытие дополнительного счета в Юнусабадском филиале Ипотека Банка, поскольку основной счет в настоящее время обслуживается в другом учреждении. Выполнение этих условий необходимо для обеспечения юридической и операционной готовности к заключению кредитного договора.</w:t>
      </w:r>
    </w:p>
    <w:p w14:paraId="01E6A66E" w14:textId="4B95F1CE" w:rsidR="004029DD" w:rsidRPr="002433D0" w:rsidRDefault="00DA2CEF"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До выдачи кредита должны быть выполнены следующие предварительные условия. Внутренний рейтинг клиента-заемщика должен быть не ниже Класса 3, при этом текущая оценка подтверждает Класс 1, что полностью соответствует требованиям кредитной политики. Классификация отраслевого риска должна находиться в одной из категорий: Green, Yellow или Orange; текущий статус — Yellow, что соответствует установленным критериям. Кроме того, обеспечение по кредиту должно составлять не менее 120%, при этом залогом выступает недвижимость, принадлежащая ООО 'CONGLOMATARE PRODUCTS.'</w:t>
      </w:r>
    </w:p>
    <w:p>
      <w:r>
        <w:t>Заемщик обязан открыть дополнительный счет в Юнусабадском филиале Ipoteka Bank после положительного решения кредитного комитета, поскольку основной счет в настоящее время открыт в другом банке. Утвержденная процентная ставка по кредиту составляет 10% годовых, что подтверждено официальной перепиской от 25.11.2025. Совокупность этих условий обеспечивает надлежащее снижение риска банка до момента выдачи средств.</w:t>
      </w:r>
    </w:p>
    <w:p w14:paraId="3A58136D" w14:textId="1E258D46" w:rsidR="00DA2CEF" w:rsidRPr="002433D0" w:rsidRDefault="007B56FC"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В течение срока кредита заемщик подлежит ряду текущих условий и ковенант, направленных на обеспечение разумного управления рисками и соблюдение кредитной политики банка. Коэффициент покрытия залога установлен на минимальном уровне 120%, и это требование должно поддерживаться на протяжении всего срока кредита. Внутренний кредитный рейтинг заемщика должен оставаться не ниже класса 3; в настоящее время заемщик имеет рейтинг класса 1, что полностью соответствует стандартам политики. Классификация отраслевого риска — желтая, что находится в допустимых пределах согласно руководящим принципам банка.</w:t>
      </w:r>
      <w:r w:rsidR="00C62191" w:rsidRPr="002433D0">
        <w:rPr>
          <w:rFonts w:ascii="Calibri" w:hAnsi="Calibri" w:cstheme="minorHAnsi"/>
          <w:bCs/>
          <w:i/>
          <w:sz w:val="20"/>
          <w:szCs w:val="20"/>
        </w:rPr>
      </w:r>
    </w:p>
    <w:p>
      <w:r>
        <w:t>Текущее мониторирование будет включать регулярные обзоры финансового положения заемщика, включая показатели ликвидности и оборотного капитала, что подтверждается детализированными финансовыми коэффициентами, предоставленными на весь срок кредита. Ожидается, что заемщик будет поддерживать активный оборот по счету, при этом прогнозируемые средние месячные обороты на 2024 и 2025 годы четко определены. Соблюдение требований по противодействию отмыванию денег (AML) контролируется, при этом заемщик в настоящее время оценивается как имеющий низкий уровень риска в этом отношении. Банк продолжит мониторинг на предмет любых реструктуризаций, задержек платежей или вопросов соблюдения в рамках стандартных процедур надзора.</w:t>
      </w:r>
    </w:p>
    <w:p>
      <w:r>
        <w:t>Требования к отчетности подразумеваются необходимостью текущего финансового мониторинга и поддержания установленных финансовых ковенант. Результаты деятельности заемщика по этим ковенантам будут периодически пересматриваться для обеспечения дальнейшей приемлемости и снижения рисков.</w:t>
      </w:r>
    </w:p>
    <w:p w14:paraId="71FB202E" w14:textId="77777777" w:rsidR="006C4F13" w:rsidRDefault="006C4F13" w:rsidP="0089472A">
      <w:pPr>
        <w:pStyle w:val="BodyTextIndent2"/>
        <w:numPr>
          <w:ilvl w:val="0"/>
          <w:numId w:val="0"/>
        </w:numPr>
        <w:rPr>
          <w:rFonts w:ascii="Calibri" w:hAnsi="Calibri" w:cstheme="minorHAnsi"/>
          <w:bCs/>
          <w:i/>
          <w:sz w:val="20"/>
          <w:szCs w:val="20"/>
        </w:rPr>
      </w:pPr>
    </w:p>
    <w:p w14:paraId="7782DDD1" w14:textId="77777777" w:rsidR="006C4F13" w:rsidRPr="006C4F13" w:rsidRDefault="006C4F13" w:rsidP="006C4F13">
      <w:pPr>
        <w:spacing w:after="0" w:line="240" w:lineRule="auto"/>
        <w:jc w:val="both"/>
        <w:rPr>
          <w:rFonts w:ascii="Arial" w:hAnsi="Arial" w:cs="Arial"/>
          <w:b/>
          <w:color w:val="FF0000"/>
          <w:sz w:val="24"/>
          <w:szCs w:val="24"/>
          <w:lang w:val="uz-Latn-UZ"/>
        </w:rPr>
      </w:pPr>
      <w:r w:rsidRPr="006C4F13">
        <w:rPr>
          <w:rFonts w:ascii="Arial" w:hAnsi="Arial" w:cs="Arial"/>
          <w:i/>
          <w:iCs/>
          <w:color w:val="FF0000"/>
          <w:u w:val="single"/>
          <w:lang w:val="uz-Latn-UZ"/>
        </w:rPr>
        <w:t>Eslatma: har bir loyiha boʻyicha uning hamma jihatlarini eʼtiborga olgan holda ushbu Risk opinion/xulosa  namunasiga hohlaganicha oʻzgartirish va qoʻshimchalar kiritilishi mumkin, ushbu Risk opinion/xulosa namunasini mulkchilik shaklidan qatʼiy nazar barcha xoʻjalik subyektlari va xususiy tadbirkorlar uchun qoʻllash mumkin.</w:t>
      </w:r>
    </w:p>
    <w:p w14:paraId="264AE201" w14:textId="77777777" w:rsidR="006C4F13" w:rsidRPr="006C4F13" w:rsidRDefault="006C4F13" w:rsidP="0089472A">
      <w:pPr>
        <w:pStyle w:val="BodyTextIndent2"/>
        <w:numPr>
          <w:ilvl w:val="0"/>
          <w:numId w:val="0"/>
        </w:numPr>
        <w:rPr>
          <w:rFonts w:ascii="Calibri" w:hAnsi="Calibri" w:cstheme="minorHAnsi"/>
          <w:bCs/>
          <w:i/>
          <w:sz w:val="20"/>
          <w:szCs w:val="20"/>
          <w:lang w:val="uz-Latn-UZ"/>
        </w:rPr>
      </w:pPr>
    </w:p>
    <w:sectPr w:rsidR="006C4F13" w:rsidRPr="006C4F13" w:rsidSect="00C2509A">
      <w:headerReference w:type="default" r:id="rId9"/>
      <w:footerReference w:type="default" r:id="rId10"/>
      <w:pgSz w:w="15840" w:h="12240" w:orient="landscape"/>
      <w:pgMar w:top="851" w:right="1417" w:bottom="851" w:left="1418"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8A80" w14:textId="77777777" w:rsidR="0068188A" w:rsidRDefault="0068188A" w:rsidP="00DF3C97">
      <w:pPr>
        <w:spacing w:after="0" w:line="240" w:lineRule="auto"/>
      </w:pPr>
      <w:r>
        <w:separator/>
      </w:r>
    </w:p>
  </w:endnote>
  <w:endnote w:type="continuationSeparator" w:id="0">
    <w:p w14:paraId="3267D09B" w14:textId="77777777" w:rsidR="0068188A" w:rsidRDefault="0068188A" w:rsidP="00DF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12802"/>
      <w:docPartObj>
        <w:docPartGallery w:val="Page Numbers (Bottom of Page)"/>
        <w:docPartUnique/>
      </w:docPartObj>
    </w:sdtPr>
    <w:sdtContent>
      <w:sdt>
        <w:sdtPr>
          <w:id w:val="860082579"/>
          <w:docPartObj>
            <w:docPartGallery w:val="Page Numbers (Top of Page)"/>
            <w:docPartUnique/>
          </w:docPartObj>
        </w:sdtPr>
        <w:sdtContent>
          <w:bookmarkStart w:id="1" w:name="_Hlk163911082" w:displacedByCustomXml="prev"/>
          <w:p w14:paraId="17A86EEC" w14:textId="3C1F7BE8" w:rsidR="006A6901" w:rsidRDefault="00327A9D" w:rsidP="0041280E">
            <w:pPr>
              <w:pStyle w:val="Footer"/>
              <w:ind w:left="-284"/>
            </w:pPr>
            <w:r>
              <w:t>Currency Units: TUSD/TEUR/MUZS USD/UZS=</w:t>
            </w:r>
            <w:r w:rsidR="00120FB1">
              <w:t>XX</w:t>
            </w:r>
            <w:r>
              <w:t>,</w:t>
            </w:r>
            <w:r w:rsidR="00120FB1">
              <w:t>XXX</w:t>
            </w:r>
            <w:r>
              <w:t>.</w:t>
            </w:r>
            <w:r w:rsidR="00120FB1">
              <w:t>XX</w:t>
            </w:r>
            <w:r>
              <w:t xml:space="preserve"> EUR/UZS=</w:t>
            </w:r>
            <w:r w:rsidR="00120FB1">
              <w:t>XX</w:t>
            </w:r>
            <w:r>
              <w:t>,</w:t>
            </w:r>
            <w:r w:rsidR="00120FB1">
              <w:t>XXX</w:t>
            </w:r>
            <w:r>
              <w:t>.</w:t>
            </w:r>
            <w:r w:rsidR="00120FB1">
              <w:t>XX</w:t>
            </w:r>
            <w:r>
              <w:t xml:space="preserve"> </w:t>
            </w:r>
            <w:bookmarkEnd w:id="1"/>
            <w:r>
              <w:t xml:space="preserve">as of </w:t>
            </w:r>
            <w:r w:rsidR="004F3793">
              <w:t>XX</w:t>
            </w:r>
            <w:r>
              <w:t>.</w:t>
            </w:r>
            <w:r w:rsidR="004F3793">
              <w:t>XX</w:t>
            </w:r>
            <w:r>
              <w:t>.</w:t>
            </w:r>
            <w:r w:rsidR="004F3793">
              <w:t>XXXX</w:t>
            </w:r>
            <w:r w:rsidR="0041280E">
              <w:t xml:space="preserve"> </w:t>
            </w:r>
            <w:sdt>
              <w:sdtPr>
                <w:id w:val="861169971"/>
                <w:docPartObj>
                  <w:docPartGallery w:val="Page Numbers (Bottom of Page)"/>
                  <w:docPartUnique/>
                </w:docPartObj>
              </w:sdtPr>
              <w:sdtContent>
                <w:sdt>
                  <w:sdtPr>
                    <w:id w:val="-304778285"/>
                    <w:docPartObj>
                      <w:docPartGallery w:val="Page Numbers (Top of Page)"/>
                      <w:docPartUnique/>
                    </w:docPartObj>
                  </w:sdtPr>
                  <w:sdtContent>
                    <w:r w:rsidR="0041280E">
                      <w:tab/>
                      <w:t xml:space="preserve">Page </w:t>
                    </w:r>
                    <w:r w:rsidR="0041280E">
                      <w:rPr>
                        <w:b/>
                        <w:bCs/>
                        <w:sz w:val="24"/>
                        <w:szCs w:val="24"/>
                      </w:rPr>
                      <w:fldChar w:fldCharType="begin"/>
                    </w:r>
                    <w:r w:rsidR="0041280E">
                      <w:rPr>
                        <w:b/>
                        <w:bCs/>
                      </w:rPr>
                      <w:instrText xml:space="preserve"> PAGE </w:instrText>
                    </w:r>
                    <w:r w:rsidR="0041280E">
                      <w:rPr>
                        <w:b/>
                        <w:bCs/>
                        <w:sz w:val="24"/>
                        <w:szCs w:val="24"/>
                      </w:rPr>
                      <w:fldChar w:fldCharType="separate"/>
                    </w:r>
                    <w:r w:rsidR="0041280E">
                      <w:rPr>
                        <w:b/>
                        <w:bCs/>
                      </w:rPr>
                      <w:t>2</w:t>
                    </w:r>
                    <w:r w:rsidR="0041280E">
                      <w:rPr>
                        <w:b/>
                        <w:bCs/>
                        <w:sz w:val="24"/>
                        <w:szCs w:val="24"/>
                      </w:rPr>
                      <w:fldChar w:fldCharType="end"/>
                    </w:r>
                    <w:r w:rsidR="0041280E">
                      <w:t xml:space="preserve"> of </w:t>
                    </w:r>
                    <w:r w:rsidR="0041280E">
                      <w:rPr>
                        <w:b/>
                        <w:bCs/>
                        <w:sz w:val="24"/>
                        <w:szCs w:val="24"/>
                      </w:rPr>
                      <w:fldChar w:fldCharType="begin"/>
                    </w:r>
                    <w:r w:rsidR="0041280E">
                      <w:rPr>
                        <w:b/>
                        <w:bCs/>
                      </w:rPr>
                      <w:instrText xml:space="preserve"> NUMPAGES  </w:instrText>
                    </w:r>
                    <w:r w:rsidR="0041280E">
                      <w:rPr>
                        <w:b/>
                        <w:bCs/>
                        <w:sz w:val="24"/>
                        <w:szCs w:val="24"/>
                      </w:rPr>
                      <w:fldChar w:fldCharType="separate"/>
                    </w:r>
                    <w:r w:rsidR="0041280E">
                      <w:rPr>
                        <w:b/>
                        <w:bCs/>
                      </w:rPr>
                      <w:t>4</w:t>
                    </w:r>
                    <w:r w:rsidR="0041280E">
                      <w:rPr>
                        <w:b/>
                        <w:bCs/>
                        <w:sz w:val="24"/>
                        <w:szCs w:val="24"/>
                      </w:rPr>
                      <w:fldChar w:fldCharType="end"/>
                    </w:r>
                  </w:sdtContent>
                </w:sdt>
              </w:sdtContent>
            </w:sdt>
          </w:p>
        </w:sdtContent>
      </w:sdt>
    </w:sdtContent>
  </w:sdt>
  <w:p w14:paraId="33B40EDB" w14:textId="77777777" w:rsidR="006A6901" w:rsidRDefault="006A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22F6" w14:textId="77777777" w:rsidR="0068188A" w:rsidRDefault="0068188A" w:rsidP="00DF3C97">
      <w:pPr>
        <w:spacing w:after="0" w:line="240" w:lineRule="auto"/>
      </w:pPr>
      <w:r>
        <w:separator/>
      </w:r>
    </w:p>
  </w:footnote>
  <w:footnote w:type="continuationSeparator" w:id="0">
    <w:p w14:paraId="657CA103" w14:textId="77777777" w:rsidR="0068188A" w:rsidRDefault="0068188A" w:rsidP="00DF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3B73" w14:textId="77777777" w:rsidR="006A6901" w:rsidRPr="00D14504" w:rsidRDefault="006A6901" w:rsidP="00DF3C97">
    <w:pPr>
      <w:pStyle w:val="Header"/>
      <w:jc w:val="right"/>
      <w:rPr>
        <w:rFonts w:cstheme="minorHAnsi"/>
        <w:b/>
        <w:sz w:val="28"/>
        <w:szCs w:val="28"/>
      </w:rPr>
    </w:pPr>
    <w:r w:rsidRPr="00D14504">
      <w:rPr>
        <w:rFonts w:cstheme="minorHAnsi"/>
        <w:b/>
        <w:sz w:val="28"/>
        <w:szCs w:val="28"/>
      </w:rPr>
      <w:t>Confidential</w:t>
    </w:r>
  </w:p>
  <w:p w14:paraId="5733716F" w14:textId="77777777" w:rsidR="006A6901" w:rsidRDefault="006A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5EB"/>
    <w:multiLevelType w:val="hybridMultilevel"/>
    <w:tmpl w:val="2E8E5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A3895"/>
    <w:multiLevelType w:val="hybridMultilevel"/>
    <w:tmpl w:val="C7F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B5174"/>
    <w:multiLevelType w:val="hybridMultilevel"/>
    <w:tmpl w:val="8B6C30F0"/>
    <w:lvl w:ilvl="0" w:tplc="DF125970">
      <w:start w:val="1"/>
      <w:numFmt w:val="upperRoman"/>
      <w:lvlText w:val="%1."/>
      <w:lvlJc w:val="left"/>
      <w:pPr>
        <w:tabs>
          <w:tab w:val="num" w:pos="1080"/>
        </w:tabs>
        <w:ind w:left="1080" w:hanging="720"/>
      </w:pPr>
      <w:rPr>
        <w:rFonts w:hint="default"/>
      </w:rPr>
    </w:lvl>
    <w:lvl w:ilvl="1" w:tplc="C9D6D14C">
      <w:start w:val="4"/>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3B6656B"/>
    <w:multiLevelType w:val="hybridMultilevel"/>
    <w:tmpl w:val="9078F22C"/>
    <w:lvl w:ilvl="0" w:tplc="2C6C71EC">
      <w:start w:val="1"/>
      <w:numFmt w:val="decimal"/>
      <w:lvlText w:val="%1)"/>
      <w:lvlJc w:val="left"/>
      <w:pPr>
        <w:ind w:left="1080" w:hanging="360"/>
      </w:pPr>
      <w:rPr>
        <w:rFonts w:ascii="Book Antiqua" w:eastAsia="MS Mincho" w:hAnsi="Book Antiqua"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E57B9"/>
    <w:multiLevelType w:val="hybridMultilevel"/>
    <w:tmpl w:val="AE88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27F7"/>
    <w:multiLevelType w:val="hybridMultilevel"/>
    <w:tmpl w:val="DE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D2521"/>
    <w:multiLevelType w:val="hybridMultilevel"/>
    <w:tmpl w:val="1744D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53DD4"/>
    <w:multiLevelType w:val="hybridMultilevel"/>
    <w:tmpl w:val="3F2AB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26A7B83"/>
    <w:multiLevelType w:val="hybridMultilevel"/>
    <w:tmpl w:val="464E888E"/>
    <w:lvl w:ilvl="0" w:tplc="FFFFFFFF">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77475"/>
    <w:multiLevelType w:val="hybridMultilevel"/>
    <w:tmpl w:val="E88E3E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176C35"/>
    <w:multiLevelType w:val="hybridMultilevel"/>
    <w:tmpl w:val="EF088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622AA"/>
    <w:multiLevelType w:val="hybridMultilevel"/>
    <w:tmpl w:val="DF02F0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9758D"/>
    <w:multiLevelType w:val="hybridMultilevel"/>
    <w:tmpl w:val="05E09E72"/>
    <w:lvl w:ilvl="0" w:tplc="9566D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70917"/>
    <w:multiLevelType w:val="hybridMultilevel"/>
    <w:tmpl w:val="E5B4BE8C"/>
    <w:lvl w:ilvl="0" w:tplc="BA00085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25205E"/>
    <w:multiLevelType w:val="hybridMultilevel"/>
    <w:tmpl w:val="3D16F756"/>
    <w:lvl w:ilvl="0" w:tplc="5F34D1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00601"/>
    <w:multiLevelType w:val="hybridMultilevel"/>
    <w:tmpl w:val="100022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A5468B"/>
    <w:multiLevelType w:val="hybridMultilevel"/>
    <w:tmpl w:val="CDB0855C"/>
    <w:lvl w:ilvl="0" w:tplc="0F06D58A">
      <w:start w:val="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867089"/>
    <w:multiLevelType w:val="hybridMultilevel"/>
    <w:tmpl w:val="653AD43C"/>
    <w:lvl w:ilvl="0" w:tplc="86B67E6C">
      <w:numFmt w:val="bullet"/>
      <w:lvlText w:val="-"/>
      <w:lvlJc w:val="left"/>
      <w:pPr>
        <w:ind w:left="720" w:hanging="360"/>
      </w:pPr>
      <w:rPr>
        <w:rFonts w:ascii="Calibri" w:eastAsia="MS Mincho"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835D4"/>
    <w:multiLevelType w:val="hybridMultilevel"/>
    <w:tmpl w:val="8F52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B285E"/>
    <w:multiLevelType w:val="multilevel"/>
    <w:tmpl w:val="FBB4DF4C"/>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532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389569F"/>
    <w:multiLevelType w:val="hybridMultilevel"/>
    <w:tmpl w:val="95AC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5651"/>
    <w:multiLevelType w:val="hybridMultilevel"/>
    <w:tmpl w:val="302C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32C24"/>
    <w:multiLevelType w:val="hybridMultilevel"/>
    <w:tmpl w:val="7D38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05894"/>
    <w:multiLevelType w:val="hybridMultilevel"/>
    <w:tmpl w:val="897E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B1736"/>
    <w:multiLevelType w:val="hybridMultilevel"/>
    <w:tmpl w:val="1206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64043"/>
    <w:multiLevelType w:val="hybridMultilevel"/>
    <w:tmpl w:val="67A6A166"/>
    <w:lvl w:ilvl="0" w:tplc="0409000F">
      <w:start w:val="1"/>
      <w:numFmt w:val="decimal"/>
      <w:lvlText w:val="%1."/>
      <w:lvlJc w:val="left"/>
      <w:pPr>
        <w:ind w:left="360" w:hanging="360"/>
      </w:pPr>
    </w:lvl>
    <w:lvl w:ilvl="1" w:tplc="400679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CE6D93"/>
    <w:multiLevelType w:val="hybridMultilevel"/>
    <w:tmpl w:val="280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E351D"/>
    <w:multiLevelType w:val="hybridMultilevel"/>
    <w:tmpl w:val="8C88B3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1E149F"/>
    <w:multiLevelType w:val="hybridMultilevel"/>
    <w:tmpl w:val="A3F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94C29"/>
    <w:multiLevelType w:val="hybridMultilevel"/>
    <w:tmpl w:val="984AFEA4"/>
    <w:lvl w:ilvl="0" w:tplc="1EE80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E6BB9"/>
    <w:multiLevelType w:val="hybridMultilevel"/>
    <w:tmpl w:val="D584BCA0"/>
    <w:lvl w:ilvl="0" w:tplc="E286BF68">
      <w:start w:val="1"/>
      <w:numFmt w:val="decimal"/>
      <w:lvlText w:val="%1."/>
      <w:lvlJc w:val="left"/>
      <w:pPr>
        <w:ind w:left="360" w:hanging="360"/>
      </w:pPr>
      <w:rPr>
        <w:rFonts w:hint="default"/>
      </w:rPr>
    </w:lvl>
    <w:lvl w:ilvl="1" w:tplc="400679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C34F30"/>
    <w:multiLevelType w:val="hybridMultilevel"/>
    <w:tmpl w:val="7778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7605E"/>
    <w:multiLevelType w:val="hybridMultilevel"/>
    <w:tmpl w:val="87D6C7C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30A7828"/>
    <w:multiLevelType w:val="hybridMultilevel"/>
    <w:tmpl w:val="EC089EDC"/>
    <w:lvl w:ilvl="0" w:tplc="368E375A">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DD1E61"/>
    <w:multiLevelType w:val="hybridMultilevel"/>
    <w:tmpl w:val="610A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D623B"/>
    <w:multiLevelType w:val="hybridMultilevel"/>
    <w:tmpl w:val="5EF6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F5F6F"/>
    <w:multiLevelType w:val="hybridMultilevel"/>
    <w:tmpl w:val="C298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23971"/>
    <w:multiLevelType w:val="hybridMultilevel"/>
    <w:tmpl w:val="C21EAD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18735CD"/>
    <w:multiLevelType w:val="hybridMultilevel"/>
    <w:tmpl w:val="F202B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DF70B6"/>
    <w:multiLevelType w:val="hybridMultilevel"/>
    <w:tmpl w:val="75FC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065B9"/>
    <w:multiLevelType w:val="hybridMultilevel"/>
    <w:tmpl w:val="7B24A866"/>
    <w:lvl w:ilvl="0" w:tplc="9566D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F3E57"/>
    <w:multiLevelType w:val="hybridMultilevel"/>
    <w:tmpl w:val="B0D8E7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76450BF5"/>
    <w:multiLevelType w:val="hybridMultilevel"/>
    <w:tmpl w:val="DA48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77D68"/>
    <w:multiLevelType w:val="hybridMultilevel"/>
    <w:tmpl w:val="B11625D2"/>
    <w:lvl w:ilvl="0" w:tplc="516CF3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D46D0"/>
    <w:multiLevelType w:val="hybridMultilevel"/>
    <w:tmpl w:val="1104387A"/>
    <w:lvl w:ilvl="0" w:tplc="9F38CD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9139E"/>
    <w:multiLevelType w:val="hybridMultilevel"/>
    <w:tmpl w:val="D8FE2554"/>
    <w:lvl w:ilvl="0" w:tplc="217CF8E4">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111E0"/>
    <w:multiLevelType w:val="hybridMultilevel"/>
    <w:tmpl w:val="C0DA0CCA"/>
    <w:lvl w:ilvl="0" w:tplc="9566DA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466A7"/>
    <w:multiLevelType w:val="hybridMultilevel"/>
    <w:tmpl w:val="C80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888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338881">
    <w:abstractNumId w:val="13"/>
  </w:num>
  <w:num w:numId="3" w16cid:durableId="1877430703">
    <w:abstractNumId w:val="19"/>
  </w:num>
  <w:num w:numId="4" w16cid:durableId="1984312399">
    <w:abstractNumId w:val="2"/>
  </w:num>
  <w:num w:numId="5" w16cid:durableId="735515291">
    <w:abstractNumId w:val="9"/>
  </w:num>
  <w:num w:numId="6" w16cid:durableId="575869091">
    <w:abstractNumId w:val="20"/>
  </w:num>
  <w:num w:numId="7" w16cid:durableId="528956794">
    <w:abstractNumId w:val="5"/>
  </w:num>
  <w:num w:numId="8" w16cid:durableId="1267034147">
    <w:abstractNumId w:val="47"/>
  </w:num>
  <w:num w:numId="9" w16cid:durableId="1541821855">
    <w:abstractNumId w:val="37"/>
  </w:num>
  <w:num w:numId="10" w16cid:durableId="327370014">
    <w:abstractNumId w:val="8"/>
  </w:num>
  <w:num w:numId="11" w16cid:durableId="1747260747">
    <w:abstractNumId w:val="26"/>
  </w:num>
  <w:num w:numId="12" w16cid:durableId="1833333537">
    <w:abstractNumId w:val="31"/>
  </w:num>
  <w:num w:numId="13" w16cid:durableId="2103184422">
    <w:abstractNumId w:val="32"/>
  </w:num>
  <w:num w:numId="14" w16cid:durableId="382753468">
    <w:abstractNumId w:val="18"/>
  </w:num>
  <w:num w:numId="15" w16cid:durableId="109206541">
    <w:abstractNumId w:val="7"/>
  </w:num>
  <w:num w:numId="16" w16cid:durableId="437993361">
    <w:abstractNumId w:val="36"/>
  </w:num>
  <w:num w:numId="17" w16cid:durableId="898514996">
    <w:abstractNumId w:val="10"/>
  </w:num>
  <w:num w:numId="18" w16cid:durableId="1337346240">
    <w:abstractNumId w:val="21"/>
  </w:num>
  <w:num w:numId="19" w16cid:durableId="585577741">
    <w:abstractNumId w:val="6"/>
  </w:num>
  <w:num w:numId="20" w16cid:durableId="1920291443">
    <w:abstractNumId w:val="27"/>
  </w:num>
  <w:num w:numId="21" w16cid:durableId="320743037">
    <w:abstractNumId w:val="11"/>
  </w:num>
  <w:num w:numId="22" w16cid:durableId="1655403386">
    <w:abstractNumId w:val="38"/>
  </w:num>
  <w:num w:numId="23" w16cid:durableId="1770542841">
    <w:abstractNumId w:val="3"/>
  </w:num>
  <w:num w:numId="24" w16cid:durableId="1520043293">
    <w:abstractNumId w:val="25"/>
  </w:num>
  <w:num w:numId="25" w16cid:durableId="692069536">
    <w:abstractNumId w:val="15"/>
  </w:num>
  <w:num w:numId="26" w16cid:durableId="542863642">
    <w:abstractNumId w:val="30"/>
  </w:num>
  <w:num w:numId="27" w16cid:durableId="1415937087">
    <w:abstractNumId w:val="46"/>
  </w:num>
  <w:num w:numId="28" w16cid:durableId="1053307672">
    <w:abstractNumId w:val="40"/>
  </w:num>
  <w:num w:numId="29" w16cid:durableId="640311503">
    <w:abstractNumId w:val="12"/>
  </w:num>
  <w:num w:numId="30" w16cid:durableId="1070689123">
    <w:abstractNumId w:val="29"/>
  </w:num>
  <w:num w:numId="31" w16cid:durableId="309478165">
    <w:abstractNumId w:val="14"/>
  </w:num>
  <w:num w:numId="32" w16cid:durableId="431433460">
    <w:abstractNumId w:val="44"/>
  </w:num>
  <w:num w:numId="33" w16cid:durableId="1569803568">
    <w:abstractNumId w:val="43"/>
  </w:num>
  <w:num w:numId="34" w16cid:durableId="700279368">
    <w:abstractNumId w:val="33"/>
  </w:num>
  <w:num w:numId="35" w16cid:durableId="2072607820">
    <w:abstractNumId w:val="45"/>
  </w:num>
  <w:num w:numId="36" w16cid:durableId="1945572488">
    <w:abstractNumId w:val="34"/>
  </w:num>
  <w:num w:numId="37" w16cid:durableId="1490974708">
    <w:abstractNumId w:val="4"/>
  </w:num>
  <w:num w:numId="38" w16cid:durableId="1856336447">
    <w:abstractNumId w:val="22"/>
  </w:num>
  <w:num w:numId="39" w16cid:durableId="1407606798">
    <w:abstractNumId w:val="24"/>
  </w:num>
  <w:num w:numId="40" w16cid:durableId="70004538">
    <w:abstractNumId w:val="42"/>
  </w:num>
  <w:num w:numId="41" w16cid:durableId="1369143775">
    <w:abstractNumId w:val="39"/>
  </w:num>
  <w:num w:numId="42" w16cid:durableId="1241907582">
    <w:abstractNumId w:val="16"/>
  </w:num>
  <w:num w:numId="43" w16cid:durableId="631440903">
    <w:abstractNumId w:val="1"/>
  </w:num>
  <w:num w:numId="44" w16cid:durableId="1425764467">
    <w:abstractNumId w:val="23"/>
  </w:num>
  <w:num w:numId="45" w16cid:durableId="1488133481">
    <w:abstractNumId w:val="41"/>
  </w:num>
  <w:num w:numId="46" w16cid:durableId="1077705561">
    <w:abstractNumId w:val="35"/>
  </w:num>
  <w:num w:numId="47" w16cid:durableId="1472793821">
    <w:abstractNumId w:val="17"/>
  </w:num>
  <w:num w:numId="48" w16cid:durableId="90471950">
    <w:abstractNumId w:val="28"/>
  </w:num>
  <w:num w:numId="49" w16cid:durableId="377045462">
    <w:abstractNumId w:val="41"/>
  </w:num>
  <w:num w:numId="50" w16cid:durableId="63610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DA"/>
    <w:rsid w:val="000022A1"/>
    <w:rsid w:val="00005742"/>
    <w:rsid w:val="00005DFC"/>
    <w:rsid w:val="00006203"/>
    <w:rsid w:val="000063C7"/>
    <w:rsid w:val="0001141E"/>
    <w:rsid w:val="000156CB"/>
    <w:rsid w:val="00015F8E"/>
    <w:rsid w:val="00020DFE"/>
    <w:rsid w:val="0002344D"/>
    <w:rsid w:val="00027F31"/>
    <w:rsid w:val="00030AEE"/>
    <w:rsid w:val="0003243F"/>
    <w:rsid w:val="00037B41"/>
    <w:rsid w:val="000431CF"/>
    <w:rsid w:val="00044FB7"/>
    <w:rsid w:val="00052483"/>
    <w:rsid w:val="000526DC"/>
    <w:rsid w:val="000527DB"/>
    <w:rsid w:val="0005671F"/>
    <w:rsid w:val="000602AD"/>
    <w:rsid w:val="00063457"/>
    <w:rsid w:val="00063D78"/>
    <w:rsid w:val="00067802"/>
    <w:rsid w:val="0007062A"/>
    <w:rsid w:val="000769A6"/>
    <w:rsid w:val="00080F82"/>
    <w:rsid w:val="00085453"/>
    <w:rsid w:val="000913C5"/>
    <w:rsid w:val="000968B7"/>
    <w:rsid w:val="000A5E7E"/>
    <w:rsid w:val="000A78CF"/>
    <w:rsid w:val="000B1DA4"/>
    <w:rsid w:val="000B4C59"/>
    <w:rsid w:val="000B5969"/>
    <w:rsid w:val="000B6F70"/>
    <w:rsid w:val="000C2F23"/>
    <w:rsid w:val="000D7EE8"/>
    <w:rsid w:val="000E16FF"/>
    <w:rsid w:val="000E1C48"/>
    <w:rsid w:val="000E786F"/>
    <w:rsid w:val="000E7CAE"/>
    <w:rsid w:val="000F17F2"/>
    <w:rsid w:val="000F245D"/>
    <w:rsid w:val="000F4ED8"/>
    <w:rsid w:val="001009E4"/>
    <w:rsid w:val="001054DD"/>
    <w:rsid w:val="001125C0"/>
    <w:rsid w:val="001139E6"/>
    <w:rsid w:val="00120FB1"/>
    <w:rsid w:val="001217EF"/>
    <w:rsid w:val="00124048"/>
    <w:rsid w:val="00126599"/>
    <w:rsid w:val="00127A3B"/>
    <w:rsid w:val="00137092"/>
    <w:rsid w:val="00140E9A"/>
    <w:rsid w:val="00143389"/>
    <w:rsid w:val="00144CB3"/>
    <w:rsid w:val="00147936"/>
    <w:rsid w:val="00147BEA"/>
    <w:rsid w:val="001537FA"/>
    <w:rsid w:val="00154434"/>
    <w:rsid w:val="00157AD5"/>
    <w:rsid w:val="0016697D"/>
    <w:rsid w:val="0016735E"/>
    <w:rsid w:val="0017257C"/>
    <w:rsid w:val="0017260C"/>
    <w:rsid w:val="0017330B"/>
    <w:rsid w:val="00173739"/>
    <w:rsid w:val="00173940"/>
    <w:rsid w:val="00177D7D"/>
    <w:rsid w:val="00184690"/>
    <w:rsid w:val="00187B12"/>
    <w:rsid w:val="001907E4"/>
    <w:rsid w:val="001A38FA"/>
    <w:rsid w:val="001A48D6"/>
    <w:rsid w:val="001A6E6F"/>
    <w:rsid w:val="001B18DF"/>
    <w:rsid w:val="001B2F0B"/>
    <w:rsid w:val="001B3F8F"/>
    <w:rsid w:val="001C2052"/>
    <w:rsid w:val="001C3E33"/>
    <w:rsid w:val="001C4F17"/>
    <w:rsid w:val="001C7868"/>
    <w:rsid w:val="001D2E9D"/>
    <w:rsid w:val="001D4482"/>
    <w:rsid w:val="001D5643"/>
    <w:rsid w:val="001D67C4"/>
    <w:rsid w:val="001E0268"/>
    <w:rsid w:val="001E2F45"/>
    <w:rsid w:val="001E4A87"/>
    <w:rsid w:val="001E6C35"/>
    <w:rsid w:val="001F21D8"/>
    <w:rsid w:val="001F21E3"/>
    <w:rsid w:val="001F63B7"/>
    <w:rsid w:val="001F6492"/>
    <w:rsid w:val="001F6A3D"/>
    <w:rsid w:val="001F7184"/>
    <w:rsid w:val="00201148"/>
    <w:rsid w:val="002045B1"/>
    <w:rsid w:val="00204C61"/>
    <w:rsid w:val="0021263F"/>
    <w:rsid w:val="00213ACE"/>
    <w:rsid w:val="00213F98"/>
    <w:rsid w:val="00215A92"/>
    <w:rsid w:val="00217B95"/>
    <w:rsid w:val="002318F5"/>
    <w:rsid w:val="00231C25"/>
    <w:rsid w:val="00232528"/>
    <w:rsid w:val="00232F5D"/>
    <w:rsid w:val="0023321A"/>
    <w:rsid w:val="00233DCD"/>
    <w:rsid w:val="00234515"/>
    <w:rsid w:val="002346C8"/>
    <w:rsid w:val="0024115A"/>
    <w:rsid w:val="00241413"/>
    <w:rsid w:val="002433D0"/>
    <w:rsid w:val="00246C1E"/>
    <w:rsid w:val="002544B0"/>
    <w:rsid w:val="00254BD1"/>
    <w:rsid w:val="00257206"/>
    <w:rsid w:val="00257606"/>
    <w:rsid w:val="00263258"/>
    <w:rsid w:val="002633DA"/>
    <w:rsid w:val="0026374E"/>
    <w:rsid w:val="00263CFC"/>
    <w:rsid w:val="00265101"/>
    <w:rsid w:val="00265C65"/>
    <w:rsid w:val="00270F27"/>
    <w:rsid w:val="00275396"/>
    <w:rsid w:val="002829B4"/>
    <w:rsid w:val="002919E5"/>
    <w:rsid w:val="00291FA4"/>
    <w:rsid w:val="00295445"/>
    <w:rsid w:val="002A68C1"/>
    <w:rsid w:val="002B0F86"/>
    <w:rsid w:val="002B3E1C"/>
    <w:rsid w:val="002B62EA"/>
    <w:rsid w:val="002C0CC7"/>
    <w:rsid w:val="002C1100"/>
    <w:rsid w:val="002C1383"/>
    <w:rsid w:val="002D3775"/>
    <w:rsid w:val="002D40C2"/>
    <w:rsid w:val="002D4BB2"/>
    <w:rsid w:val="002D698E"/>
    <w:rsid w:val="002D6FBC"/>
    <w:rsid w:val="002D7170"/>
    <w:rsid w:val="002D7694"/>
    <w:rsid w:val="002E2770"/>
    <w:rsid w:val="002E4CDB"/>
    <w:rsid w:val="002E5F22"/>
    <w:rsid w:val="002E7FEB"/>
    <w:rsid w:val="002F048D"/>
    <w:rsid w:val="002F1EA1"/>
    <w:rsid w:val="002F53FE"/>
    <w:rsid w:val="002F64A9"/>
    <w:rsid w:val="002F71B7"/>
    <w:rsid w:val="0030181F"/>
    <w:rsid w:val="0030795B"/>
    <w:rsid w:val="00307DBB"/>
    <w:rsid w:val="0031123B"/>
    <w:rsid w:val="003203EB"/>
    <w:rsid w:val="00323C99"/>
    <w:rsid w:val="003270F2"/>
    <w:rsid w:val="00327A9D"/>
    <w:rsid w:val="003306CC"/>
    <w:rsid w:val="00336302"/>
    <w:rsid w:val="00337CBD"/>
    <w:rsid w:val="0034248B"/>
    <w:rsid w:val="003455F6"/>
    <w:rsid w:val="00345AB9"/>
    <w:rsid w:val="0034613F"/>
    <w:rsid w:val="00347C0E"/>
    <w:rsid w:val="00350761"/>
    <w:rsid w:val="00351D64"/>
    <w:rsid w:val="00355D9A"/>
    <w:rsid w:val="00360820"/>
    <w:rsid w:val="00366418"/>
    <w:rsid w:val="00367871"/>
    <w:rsid w:val="00367DEA"/>
    <w:rsid w:val="00374F72"/>
    <w:rsid w:val="00375E44"/>
    <w:rsid w:val="00380101"/>
    <w:rsid w:val="00385BAB"/>
    <w:rsid w:val="0038651C"/>
    <w:rsid w:val="00387132"/>
    <w:rsid w:val="00387772"/>
    <w:rsid w:val="0039211F"/>
    <w:rsid w:val="00395F16"/>
    <w:rsid w:val="00396671"/>
    <w:rsid w:val="003A0260"/>
    <w:rsid w:val="003A5AF6"/>
    <w:rsid w:val="003A63AE"/>
    <w:rsid w:val="003A79D5"/>
    <w:rsid w:val="003B2431"/>
    <w:rsid w:val="003B37F9"/>
    <w:rsid w:val="003B699D"/>
    <w:rsid w:val="003B7C9D"/>
    <w:rsid w:val="003C002E"/>
    <w:rsid w:val="003C01E0"/>
    <w:rsid w:val="003C0B1B"/>
    <w:rsid w:val="003C7AE1"/>
    <w:rsid w:val="003D0EAB"/>
    <w:rsid w:val="003D29B6"/>
    <w:rsid w:val="003D487C"/>
    <w:rsid w:val="003E2D01"/>
    <w:rsid w:val="003E6853"/>
    <w:rsid w:val="003F07A1"/>
    <w:rsid w:val="003F2F65"/>
    <w:rsid w:val="003F5EC9"/>
    <w:rsid w:val="004029DD"/>
    <w:rsid w:val="00407168"/>
    <w:rsid w:val="00411398"/>
    <w:rsid w:val="004127A9"/>
    <w:rsid w:val="0041280E"/>
    <w:rsid w:val="00415694"/>
    <w:rsid w:val="00421154"/>
    <w:rsid w:val="00422075"/>
    <w:rsid w:val="00424480"/>
    <w:rsid w:val="004348A0"/>
    <w:rsid w:val="00441C69"/>
    <w:rsid w:val="00443135"/>
    <w:rsid w:val="00450B96"/>
    <w:rsid w:val="00454238"/>
    <w:rsid w:val="0046032B"/>
    <w:rsid w:val="0046523C"/>
    <w:rsid w:val="00467C39"/>
    <w:rsid w:val="004760E2"/>
    <w:rsid w:val="00484295"/>
    <w:rsid w:val="00492F5D"/>
    <w:rsid w:val="004933D7"/>
    <w:rsid w:val="004944E9"/>
    <w:rsid w:val="00496802"/>
    <w:rsid w:val="00497390"/>
    <w:rsid w:val="004A179F"/>
    <w:rsid w:val="004A1946"/>
    <w:rsid w:val="004A3FD1"/>
    <w:rsid w:val="004A3FDC"/>
    <w:rsid w:val="004A550E"/>
    <w:rsid w:val="004A585D"/>
    <w:rsid w:val="004B0169"/>
    <w:rsid w:val="004B2154"/>
    <w:rsid w:val="004C3A7E"/>
    <w:rsid w:val="004D0A4F"/>
    <w:rsid w:val="004D32BE"/>
    <w:rsid w:val="004D4F2A"/>
    <w:rsid w:val="004D57FE"/>
    <w:rsid w:val="004D5B63"/>
    <w:rsid w:val="004D6BD1"/>
    <w:rsid w:val="004E2D95"/>
    <w:rsid w:val="004E33FE"/>
    <w:rsid w:val="004E3F69"/>
    <w:rsid w:val="004E4A10"/>
    <w:rsid w:val="004F2FF6"/>
    <w:rsid w:val="004F3793"/>
    <w:rsid w:val="004F45C4"/>
    <w:rsid w:val="004F47CB"/>
    <w:rsid w:val="004F4A94"/>
    <w:rsid w:val="004F6272"/>
    <w:rsid w:val="00502724"/>
    <w:rsid w:val="0050457B"/>
    <w:rsid w:val="00506659"/>
    <w:rsid w:val="00506F8C"/>
    <w:rsid w:val="00507D01"/>
    <w:rsid w:val="00510D2F"/>
    <w:rsid w:val="005125A2"/>
    <w:rsid w:val="00527BDB"/>
    <w:rsid w:val="00534EC3"/>
    <w:rsid w:val="0053548F"/>
    <w:rsid w:val="005360BB"/>
    <w:rsid w:val="005405DD"/>
    <w:rsid w:val="00540B18"/>
    <w:rsid w:val="00541E4B"/>
    <w:rsid w:val="00543421"/>
    <w:rsid w:val="00544636"/>
    <w:rsid w:val="00555782"/>
    <w:rsid w:val="00557C65"/>
    <w:rsid w:val="0056245D"/>
    <w:rsid w:val="0057023A"/>
    <w:rsid w:val="00571F8C"/>
    <w:rsid w:val="0057418E"/>
    <w:rsid w:val="005743A5"/>
    <w:rsid w:val="00574AD0"/>
    <w:rsid w:val="00576387"/>
    <w:rsid w:val="0057793C"/>
    <w:rsid w:val="0058195E"/>
    <w:rsid w:val="00582B58"/>
    <w:rsid w:val="00585632"/>
    <w:rsid w:val="00587D92"/>
    <w:rsid w:val="005904A8"/>
    <w:rsid w:val="00590814"/>
    <w:rsid w:val="00590EB1"/>
    <w:rsid w:val="00593FD1"/>
    <w:rsid w:val="005A14B9"/>
    <w:rsid w:val="005B4AAC"/>
    <w:rsid w:val="005C3570"/>
    <w:rsid w:val="005C6DE0"/>
    <w:rsid w:val="005C7B10"/>
    <w:rsid w:val="005D3F38"/>
    <w:rsid w:val="005D4AA7"/>
    <w:rsid w:val="005E0570"/>
    <w:rsid w:val="005E5C34"/>
    <w:rsid w:val="005E624E"/>
    <w:rsid w:val="005F0466"/>
    <w:rsid w:val="005F3905"/>
    <w:rsid w:val="00601BA5"/>
    <w:rsid w:val="00602D3B"/>
    <w:rsid w:val="0060577B"/>
    <w:rsid w:val="006110B9"/>
    <w:rsid w:val="00611E94"/>
    <w:rsid w:val="00615047"/>
    <w:rsid w:val="00615A3E"/>
    <w:rsid w:val="0062073A"/>
    <w:rsid w:val="00621613"/>
    <w:rsid w:val="00621909"/>
    <w:rsid w:val="00627B4B"/>
    <w:rsid w:val="00634E65"/>
    <w:rsid w:val="006352D0"/>
    <w:rsid w:val="00636DBD"/>
    <w:rsid w:val="006370CA"/>
    <w:rsid w:val="00641169"/>
    <w:rsid w:val="00642F8B"/>
    <w:rsid w:val="00643CEB"/>
    <w:rsid w:val="00652558"/>
    <w:rsid w:val="00652DF0"/>
    <w:rsid w:val="00662860"/>
    <w:rsid w:val="00664DA4"/>
    <w:rsid w:val="006676AB"/>
    <w:rsid w:val="00670390"/>
    <w:rsid w:val="0067126E"/>
    <w:rsid w:val="006737D2"/>
    <w:rsid w:val="0067746A"/>
    <w:rsid w:val="00680D55"/>
    <w:rsid w:val="0068103E"/>
    <w:rsid w:val="00681647"/>
    <w:rsid w:val="0068188A"/>
    <w:rsid w:val="00683352"/>
    <w:rsid w:val="006907B3"/>
    <w:rsid w:val="00691D1E"/>
    <w:rsid w:val="00692B3E"/>
    <w:rsid w:val="0069328D"/>
    <w:rsid w:val="00695A51"/>
    <w:rsid w:val="006A6901"/>
    <w:rsid w:val="006A725D"/>
    <w:rsid w:val="006B037A"/>
    <w:rsid w:val="006B0E02"/>
    <w:rsid w:val="006B445F"/>
    <w:rsid w:val="006B5005"/>
    <w:rsid w:val="006B58B5"/>
    <w:rsid w:val="006B7651"/>
    <w:rsid w:val="006C22E9"/>
    <w:rsid w:val="006C4F13"/>
    <w:rsid w:val="006C5678"/>
    <w:rsid w:val="006D1988"/>
    <w:rsid w:val="006D2ACE"/>
    <w:rsid w:val="006D4729"/>
    <w:rsid w:val="006D7DC4"/>
    <w:rsid w:val="006E24D8"/>
    <w:rsid w:val="006E4759"/>
    <w:rsid w:val="006E76EE"/>
    <w:rsid w:val="006F03D4"/>
    <w:rsid w:val="006F2B0F"/>
    <w:rsid w:val="006F36EE"/>
    <w:rsid w:val="00701799"/>
    <w:rsid w:val="007026CC"/>
    <w:rsid w:val="007046D6"/>
    <w:rsid w:val="00705671"/>
    <w:rsid w:val="0070682F"/>
    <w:rsid w:val="007100FD"/>
    <w:rsid w:val="00712610"/>
    <w:rsid w:val="00713CAA"/>
    <w:rsid w:val="00714FEA"/>
    <w:rsid w:val="00715368"/>
    <w:rsid w:val="00717759"/>
    <w:rsid w:val="00722AC0"/>
    <w:rsid w:val="00725131"/>
    <w:rsid w:val="007277D1"/>
    <w:rsid w:val="007302D1"/>
    <w:rsid w:val="007316F4"/>
    <w:rsid w:val="00733218"/>
    <w:rsid w:val="00750703"/>
    <w:rsid w:val="00762D75"/>
    <w:rsid w:val="00775227"/>
    <w:rsid w:val="007861B0"/>
    <w:rsid w:val="00786C10"/>
    <w:rsid w:val="007870BB"/>
    <w:rsid w:val="00790DFE"/>
    <w:rsid w:val="0079467B"/>
    <w:rsid w:val="007967E7"/>
    <w:rsid w:val="007A02C4"/>
    <w:rsid w:val="007A20F8"/>
    <w:rsid w:val="007A2E48"/>
    <w:rsid w:val="007A5725"/>
    <w:rsid w:val="007A726A"/>
    <w:rsid w:val="007B00EA"/>
    <w:rsid w:val="007B01A9"/>
    <w:rsid w:val="007B56FC"/>
    <w:rsid w:val="007B60BF"/>
    <w:rsid w:val="007B6117"/>
    <w:rsid w:val="007B7876"/>
    <w:rsid w:val="007D02D7"/>
    <w:rsid w:val="007D569F"/>
    <w:rsid w:val="007D5F57"/>
    <w:rsid w:val="007D6F13"/>
    <w:rsid w:val="007E2435"/>
    <w:rsid w:val="007E38D8"/>
    <w:rsid w:val="007E4CD9"/>
    <w:rsid w:val="007E5CB3"/>
    <w:rsid w:val="007F03BD"/>
    <w:rsid w:val="007F0BC9"/>
    <w:rsid w:val="007F1334"/>
    <w:rsid w:val="007F2B50"/>
    <w:rsid w:val="007F4836"/>
    <w:rsid w:val="0080425A"/>
    <w:rsid w:val="00805173"/>
    <w:rsid w:val="0080581A"/>
    <w:rsid w:val="00810152"/>
    <w:rsid w:val="008118A4"/>
    <w:rsid w:val="00812955"/>
    <w:rsid w:val="00820839"/>
    <w:rsid w:val="00823455"/>
    <w:rsid w:val="008261A0"/>
    <w:rsid w:val="00826D96"/>
    <w:rsid w:val="00832E6B"/>
    <w:rsid w:val="00834619"/>
    <w:rsid w:val="0083567F"/>
    <w:rsid w:val="00835EEF"/>
    <w:rsid w:val="008373E4"/>
    <w:rsid w:val="00846409"/>
    <w:rsid w:val="00847E56"/>
    <w:rsid w:val="00851417"/>
    <w:rsid w:val="00852E8E"/>
    <w:rsid w:val="00860D21"/>
    <w:rsid w:val="008642E0"/>
    <w:rsid w:val="00866963"/>
    <w:rsid w:val="008731AA"/>
    <w:rsid w:val="00874A04"/>
    <w:rsid w:val="00876726"/>
    <w:rsid w:val="00880147"/>
    <w:rsid w:val="00883506"/>
    <w:rsid w:val="00893156"/>
    <w:rsid w:val="008931B4"/>
    <w:rsid w:val="0089418F"/>
    <w:rsid w:val="0089472A"/>
    <w:rsid w:val="008A12BD"/>
    <w:rsid w:val="008A2EF9"/>
    <w:rsid w:val="008A2F79"/>
    <w:rsid w:val="008A5468"/>
    <w:rsid w:val="008A732B"/>
    <w:rsid w:val="008A7E5D"/>
    <w:rsid w:val="008B09DB"/>
    <w:rsid w:val="008B34D8"/>
    <w:rsid w:val="008B37F5"/>
    <w:rsid w:val="008B5122"/>
    <w:rsid w:val="008B68F9"/>
    <w:rsid w:val="008C344C"/>
    <w:rsid w:val="008C3797"/>
    <w:rsid w:val="008C7753"/>
    <w:rsid w:val="008E2119"/>
    <w:rsid w:val="008E4A5C"/>
    <w:rsid w:val="008E5006"/>
    <w:rsid w:val="008E6E70"/>
    <w:rsid w:val="008E7F5C"/>
    <w:rsid w:val="008F061A"/>
    <w:rsid w:val="008F1A61"/>
    <w:rsid w:val="008F45BA"/>
    <w:rsid w:val="008F4D2E"/>
    <w:rsid w:val="008F71E0"/>
    <w:rsid w:val="008F7582"/>
    <w:rsid w:val="00903898"/>
    <w:rsid w:val="0090461D"/>
    <w:rsid w:val="00904A80"/>
    <w:rsid w:val="0090555F"/>
    <w:rsid w:val="009060AB"/>
    <w:rsid w:val="00907146"/>
    <w:rsid w:val="009104EF"/>
    <w:rsid w:val="00912F11"/>
    <w:rsid w:val="00914DDE"/>
    <w:rsid w:val="009169C3"/>
    <w:rsid w:val="00916DE2"/>
    <w:rsid w:val="009171C3"/>
    <w:rsid w:val="00920C6C"/>
    <w:rsid w:val="00920F21"/>
    <w:rsid w:val="009212A5"/>
    <w:rsid w:val="00924408"/>
    <w:rsid w:val="009258A9"/>
    <w:rsid w:val="00930819"/>
    <w:rsid w:val="00933729"/>
    <w:rsid w:val="0093401F"/>
    <w:rsid w:val="0094023E"/>
    <w:rsid w:val="00943AF3"/>
    <w:rsid w:val="00944403"/>
    <w:rsid w:val="00944F0E"/>
    <w:rsid w:val="00946C36"/>
    <w:rsid w:val="00951707"/>
    <w:rsid w:val="00953E58"/>
    <w:rsid w:val="00954E76"/>
    <w:rsid w:val="009602A3"/>
    <w:rsid w:val="00967199"/>
    <w:rsid w:val="00972D97"/>
    <w:rsid w:val="009733F9"/>
    <w:rsid w:val="00973EE1"/>
    <w:rsid w:val="00974DDD"/>
    <w:rsid w:val="00976EF0"/>
    <w:rsid w:val="00983E64"/>
    <w:rsid w:val="00984371"/>
    <w:rsid w:val="00984AA6"/>
    <w:rsid w:val="00996750"/>
    <w:rsid w:val="00996E2B"/>
    <w:rsid w:val="009A1DC1"/>
    <w:rsid w:val="009A35F2"/>
    <w:rsid w:val="009A3671"/>
    <w:rsid w:val="009A4554"/>
    <w:rsid w:val="009A5A4F"/>
    <w:rsid w:val="009A6444"/>
    <w:rsid w:val="009A6FAA"/>
    <w:rsid w:val="009A71AF"/>
    <w:rsid w:val="009B2B9D"/>
    <w:rsid w:val="009B5AA2"/>
    <w:rsid w:val="009C0D8A"/>
    <w:rsid w:val="009C1937"/>
    <w:rsid w:val="009C270B"/>
    <w:rsid w:val="009C2A93"/>
    <w:rsid w:val="009C3A43"/>
    <w:rsid w:val="009C4712"/>
    <w:rsid w:val="009D020B"/>
    <w:rsid w:val="009D12F7"/>
    <w:rsid w:val="009D30C1"/>
    <w:rsid w:val="009D47DA"/>
    <w:rsid w:val="009D55CA"/>
    <w:rsid w:val="009D6DB1"/>
    <w:rsid w:val="009E6943"/>
    <w:rsid w:val="009F247D"/>
    <w:rsid w:val="009F564A"/>
    <w:rsid w:val="00A042E0"/>
    <w:rsid w:val="00A05FD3"/>
    <w:rsid w:val="00A065B7"/>
    <w:rsid w:val="00A078AC"/>
    <w:rsid w:val="00A100CD"/>
    <w:rsid w:val="00A13965"/>
    <w:rsid w:val="00A13FC6"/>
    <w:rsid w:val="00A158E8"/>
    <w:rsid w:val="00A20239"/>
    <w:rsid w:val="00A209D4"/>
    <w:rsid w:val="00A24983"/>
    <w:rsid w:val="00A279B2"/>
    <w:rsid w:val="00A3051D"/>
    <w:rsid w:val="00A30AAF"/>
    <w:rsid w:val="00A31317"/>
    <w:rsid w:val="00A3412D"/>
    <w:rsid w:val="00A343C0"/>
    <w:rsid w:val="00A35001"/>
    <w:rsid w:val="00A407B7"/>
    <w:rsid w:val="00A44E3B"/>
    <w:rsid w:val="00A50245"/>
    <w:rsid w:val="00A519A7"/>
    <w:rsid w:val="00A52B92"/>
    <w:rsid w:val="00A52C64"/>
    <w:rsid w:val="00A53546"/>
    <w:rsid w:val="00A560A5"/>
    <w:rsid w:val="00A57FE5"/>
    <w:rsid w:val="00A6043A"/>
    <w:rsid w:val="00A63228"/>
    <w:rsid w:val="00A65CE3"/>
    <w:rsid w:val="00A66C63"/>
    <w:rsid w:val="00A72044"/>
    <w:rsid w:val="00A74264"/>
    <w:rsid w:val="00A75C92"/>
    <w:rsid w:val="00A76186"/>
    <w:rsid w:val="00A81671"/>
    <w:rsid w:val="00A82BEA"/>
    <w:rsid w:val="00A83563"/>
    <w:rsid w:val="00A86FF2"/>
    <w:rsid w:val="00A92CA2"/>
    <w:rsid w:val="00A94D85"/>
    <w:rsid w:val="00A96285"/>
    <w:rsid w:val="00A963E4"/>
    <w:rsid w:val="00A9666D"/>
    <w:rsid w:val="00A972CF"/>
    <w:rsid w:val="00AB006D"/>
    <w:rsid w:val="00AB04FA"/>
    <w:rsid w:val="00AB3C99"/>
    <w:rsid w:val="00AB5E84"/>
    <w:rsid w:val="00AC2624"/>
    <w:rsid w:val="00AC5A52"/>
    <w:rsid w:val="00AC79AE"/>
    <w:rsid w:val="00AD0F1E"/>
    <w:rsid w:val="00AD51D8"/>
    <w:rsid w:val="00AE2A10"/>
    <w:rsid w:val="00AE3C6A"/>
    <w:rsid w:val="00AE4048"/>
    <w:rsid w:val="00AF08C6"/>
    <w:rsid w:val="00AF30D6"/>
    <w:rsid w:val="00AF5482"/>
    <w:rsid w:val="00AF617C"/>
    <w:rsid w:val="00AF792A"/>
    <w:rsid w:val="00AF7C6D"/>
    <w:rsid w:val="00B0033E"/>
    <w:rsid w:val="00B04414"/>
    <w:rsid w:val="00B128BF"/>
    <w:rsid w:val="00B13D0E"/>
    <w:rsid w:val="00B1483C"/>
    <w:rsid w:val="00B168ED"/>
    <w:rsid w:val="00B16B8E"/>
    <w:rsid w:val="00B17979"/>
    <w:rsid w:val="00B2378A"/>
    <w:rsid w:val="00B250B4"/>
    <w:rsid w:val="00B25994"/>
    <w:rsid w:val="00B25D5F"/>
    <w:rsid w:val="00B31F54"/>
    <w:rsid w:val="00B34F49"/>
    <w:rsid w:val="00B425EC"/>
    <w:rsid w:val="00B52D2A"/>
    <w:rsid w:val="00B54D47"/>
    <w:rsid w:val="00B60CBC"/>
    <w:rsid w:val="00B60EB3"/>
    <w:rsid w:val="00B62150"/>
    <w:rsid w:val="00B628DD"/>
    <w:rsid w:val="00B725E4"/>
    <w:rsid w:val="00B72996"/>
    <w:rsid w:val="00B77E4D"/>
    <w:rsid w:val="00B9012A"/>
    <w:rsid w:val="00B968DB"/>
    <w:rsid w:val="00BA0677"/>
    <w:rsid w:val="00BA0ADE"/>
    <w:rsid w:val="00BA0FCC"/>
    <w:rsid w:val="00BA206E"/>
    <w:rsid w:val="00BA4C29"/>
    <w:rsid w:val="00BA6547"/>
    <w:rsid w:val="00BB1C38"/>
    <w:rsid w:val="00BB7D43"/>
    <w:rsid w:val="00BC08C0"/>
    <w:rsid w:val="00BC2A80"/>
    <w:rsid w:val="00BD258F"/>
    <w:rsid w:val="00BD4511"/>
    <w:rsid w:val="00BD4D8D"/>
    <w:rsid w:val="00BD5E8C"/>
    <w:rsid w:val="00BD76B2"/>
    <w:rsid w:val="00BE0F83"/>
    <w:rsid w:val="00BE1026"/>
    <w:rsid w:val="00BE1988"/>
    <w:rsid w:val="00BE41A1"/>
    <w:rsid w:val="00BE7BEE"/>
    <w:rsid w:val="00BF05AF"/>
    <w:rsid w:val="00BF0F13"/>
    <w:rsid w:val="00BF14F5"/>
    <w:rsid w:val="00BF6636"/>
    <w:rsid w:val="00C117A3"/>
    <w:rsid w:val="00C13440"/>
    <w:rsid w:val="00C14731"/>
    <w:rsid w:val="00C20DC7"/>
    <w:rsid w:val="00C213D4"/>
    <w:rsid w:val="00C2509A"/>
    <w:rsid w:val="00C26331"/>
    <w:rsid w:val="00C26745"/>
    <w:rsid w:val="00C2675A"/>
    <w:rsid w:val="00C26A3C"/>
    <w:rsid w:val="00C27306"/>
    <w:rsid w:val="00C3203A"/>
    <w:rsid w:val="00C34254"/>
    <w:rsid w:val="00C42A42"/>
    <w:rsid w:val="00C42B93"/>
    <w:rsid w:val="00C4520B"/>
    <w:rsid w:val="00C4612E"/>
    <w:rsid w:val="00C53BD8"/>
    <w:rsid w:val="00C54A2D"/>
    <w:rsid w:val="00C558D1"/>
    <w:rsid w:val="00C55BB1"/>
    <w:rsid w:val="00C56733"/>
    <w:rsid w:val="00C567ED"/>
    <w:rsid w:val="00C57AC8"/>
    <w:rsid w:val="00C62191"/>
    <w:rsid w:val="00C62451"/>
    <w:rsid w:val="00C62C3E"/>
    <w:rsid w:val="00C71BBD"/>
    <w:rsid w:val="00C7202A"/>
    <w:rsid w:val="00C75733"/>
    <w:rsid w:val="00C75E83"/>
    <w:rsid w:val="00C76167"/>
    <w:rsid w:val="00C76509"/>
    <w:rsid w:val="00C76AE0"/>
    <w:rsid w:val="00C77468"/>
    <w:rsid w:val="00C774BB"/>
    <w:rsid w:val="00C77C22"/>
    <w:rsid w:val="00C83EB8"/>
    <w:rsid w:val="00C93BBF"/>
    <w:rsid w:val="00CA0A16"/>
    <w:rsid w:val="00CA0F3B"/>
    <w:rsid w:val="00CA5ADA"/>
    <w:rsid w:val="00CB0946"/>
    <w:rsid w:val="00CB323B"/>
    <w:rsid w:val="00CB4383"/>
    <w:rsid w:val="00CB68F4"/>
    <w:rsid w:val="00CC0500"/>
    <w:rsid w:val="00CC0A80"/>
    <w:rsid w:val="00CC57F1"/>
    <w:rsid w:val="00CC735F"/>
    <w:rsid w:val="00CD3C0B"/>
    <w:rsid w:val="00CD444D"/>
    <w:rsid w:val="00CD45BB"/>
    <w:rsid w:val="00CE69AC"/>
    <w:rsid w:val="00CF344D"/>
    <w:rsid w:val="00CF7F45"/>
    <w:rsid w:val="00D014B0"/>
    <w:rsid w:val="00D03887"/>
    <w:rsid w:val="00D07E35"/>
    <w:rsid w:val="00D12BB1"/>
    <w:rsid w:val="00D168CC"/>
    <w:rsid w:val="00D20A4B"/>
    <w:rsid w:val="00D2269A"/>
    <w:rsid w:val="00D22C0F"/>
    <w:rsid w:val="00D2730B"/>
    <w:rsid w:val="00D35E8F"/>
    <w:rsid w:val="00D37698"/>
    <w:rsid w:val="00D40B69"/>
    <w:rsid w:val="00D41C38"/>
    <w:rsid w:val="00D4429D"/>
    <w:rsid w:val="00D44DD8"/>
    <w:rsid w:val="00D45F8D"/>
    <w:rsid w:val="00D467A1"/>
    <w:rsid w:val="00D5003E"/>
    <w:rsid w:val="00D50D69"/>
    <w:rsid w:val="00D547D6"/>
    <w:rsid w:val="00D55000"/>
    <w:rsid w:val="00D57A8C"/>
    <w:rsid w:val="00D623CF"/>
    <w:rsid w:val="00D64727"/>
    <w:rsid w:val="00D66CD6"/>
    <w:rsid w:val="00D67048"/>
    <w:rsid w:val="00D679A9"/>
    <w:rsid w:val="00D70111"/>
    <w:rsid w:val="00D710F5"/>
    <w:rsid w:val="00D740EF"/>
    <w:rsid w:val="00D749C3"/>
    <w:rsid w:val="00D7549F"/>
    <w:rsid w:val="00D75F38"/>
    <w:rsid w:val="00D80EFC"/>
    <w:rsid w:val="00D95236"/>
    <w:rsid w:val="00D953C1"/>
    <w:rsid w:val="00D9595E"/>
    <w:rsid w:val="00D96228"/>
    <w:rsid w:val="00D964DB"/>
    <w:rsid w:val="00D96DBE"/>
    <w:rsid w:val="00D976CE"/>
    <w:rsid w:val="00DA2CEF"/>
    <w:rsid w:val="00DA4116"/>
    <w:rsid w:val="00DA4462"/>
    <w:rsid w:val="00DA5D9A"/>
    <w:rsid w:val="00DA673F"/>
    <w:rsid w:val="00DA7132"/>
    <w:rsid w:val="00DB03BA"/>
    <w:rsid w:val="00DB3D2E"/>
    <w:rsid w:val="00DC0C62"/>
    <w:rsid w:val="00DC68DC"/>
    <w:rsid w:val="00DC70F1"/>
    <w:rsid w:val="00DD009D"/>
    <w:rsid w:val="00DD02E9"/>
    <w:rsid w:val="00DD08F2"/>
    <w:rsid w:val="00DD3019"/>
    <w:rsid w:val="00DD6C4F"/>
    <w:rsid w:val="00DE33E3"/>
    <w:rsid w:val="00DE4037"/>
    <w:rsid w:val="00DE4A8E"/>
    <w:rsid w:val="00DF19E9"/>
    <w:rsid w:val="00DF27AA"/>
    <w:rsid w:val="00DF27D6"/>
    <w:rsid w:val="00DF3C97"/>
    <w:rsid w:val="00DF787C"/>
    <w:rsid w:val="00E05A03"/>
    <w:rsid w:val="00E0632E"/>
    <w:rsid w:val="00E06457"/>
    <w:rsid w:val="00E0688E"/>
    <w:rsid w:val="00E24CA9"/>
    <w:rsid w:val="00E26042"/>
    <w:rsid w:val="00E336A3"/>
    <w:rsid w:val="00E34D95"/>
    <w:rsid w:val="00E35736"/>
    <w:rsid w:val="00E37531"/>
    <w:rsid w:val="00E42AFC"/>
    <w:rsid w:val="00E43712"/>
    <w:rsid w:val="00E439EC"/>
    <w:rsid w:val="00E44EE0"/>
    <w:rsid w:val="00E47E86"/>
    <w:rsid w:val="00E52936"/>
    <w:rsid w:val="00E529A9"/>
    <w:rsid w:val="00E5469E"/>
    <w:rsid w:val="00E57854"/>
    <w:rsid w:val="00E57A0C"/>
    <w:rsid w:val="00E57C28"/>
    <w:rsid w:val="00E63A6B"/>
    <w:rsid w:val="00E66D3E"/>
    <w:rsid w:val="00E66D67"/>
    <w:rsid w:val="00E66F47"/>
    <w:rsid w:val="00E77DEE"/>
    <w:rsid w:val="00E82995"/>
    <w:rsid w:val="00E83CDD"/>
    <w:rsid w:val="00E84856"/>
    <w:rsid w:val="00E8718A"/>
    <w:rsid w:val="00E91DC7"/>
    <w:rsid w:val="00E93323"/>
    <w:rsid w:val="00E93CCE"/>
    <w:rsid w:val="00EA0A37"/>
    <w:rsid w:val="00EA0CBA"/>
    <w:rsid w:val="00EA1E4B"/>
    <w:rsid w:val="00EA21F5"/>
    <w:rsid w:val="00EA7AFE"/>
    <w:rsid w:val="00EB55E2"/>
    <w:rsid w:val="00EB6A5D"/>
    <w:rsid w:val="00EB79F8"/>
    <w:rsid w:val="00EC3F79"/>
    <w:rsid w:val="00EC6F8D"/>
    <w:rsid w:val="00ED1C0F"/>
    <w:rsid w:val="00ED358A"/>
    <w:rsid w:val="00ED3D1F"/>
    <w:rsid w:val="00ED5EB5"/>
    <w:rsid w:val="00EE0F8F"/>
    <w:rsid w:val="00EE1446"/>
    <w:rsid w:val="00EE238A"/>
    <w:rsid w:val="00EE3EC9"/>
    <w:rsid w:val="00EE4808"/>
    <w:rsid w:val="00EF44FD"/>
    <w:rsid w:val="00EF584A"/>
    <w:rsid w:val="00F00245"/>
    <w:rsid w:val="00F02F3F"/>
    <w:rsid w:val="00F04ED6"/>
    <w:rsid w:val="00F07144"/>
    <w:rsid w:val="00F116A0"/>
    <w:rsid w:val="00F13157"/>
    <w:rsid w:val="00F132AD"/>
    <w:rsid w:val="00F17EE6"/>
    <w:rsid w:val="00F21F1E"/>
    <w:rsid w:val="00F25541"/>
    <w:rsid w:val="00F25F70"/>
    <w:rsid w:val="00F337E7"/>
    <w:rsid w:val="00F3549C"/>
    <w:rsid w:val="00F358BB"/>
    <w:rsid w:val="00F35AAB"/>
    <w:rsid w:val="00F36C73"/>
    <w:rsid w:val="00F50327"/>
    <w:rsid w:val="00F53F65"/>
    <w:rsid w:val="00F5759A"/>
    <w:rsid w:val="00F6014C"/>
    <w:rsid w:val="00F636DD"/>
    <w:rsid w:val="00F66D99"/>
    <w:rsid w:val="00F7043A"/>
    <w:rsid w:val="00F76B13"/>
    <w:rsid w:val="00F843F2"/>
    <w:rsid w:val="00F908DB"/>
    <w:rsid w:val="00F92487"/>
    <w:rsid w:val="00F9505F"/>
    <w:rsid w:val="00F9586F"/>
    <w:rsid w:val="00F966CD"/>
    <w:rsid w:val="00F96C26"/>
    <w:rsid w:val="00F96D6D"/>
    <w:rsid w:val="00F975E1"/>
    <w:rsid w:val="00F97D10"/>
    <w:rsid w:val="00FA093A"/>
    <w:rsid w:val="00FA415A"/>
    <w:rsid w:val="00FA55E1"/>
    <w:rsid w:val="00FB2BE3"/>
    <w:rsid w:val="00FB3177"/>
    <w:rsid w:val="00FB3919"/>
    <w:rsid w:val="00FC239A"/>
    <w:rsid w:val="00FC2580"/>
    <w:rsid w:val="00FC2A73"/>
    <w:rsid w:val="00FC2BB9"/>
    <w:rsid w:val="00FC3E5D"/>
    <w:rsid w:val="00FC444F"/>
    <w:rsid w:val="00FC4C75"/>
    <w:rsid w:val="00FD26BD"/>
    <w:rsid w:val="00FD323B"/>
    <w:rsid w:val="00FD469B"/>
    <w:rsid w:val="00FE35C0"/>
    <w:rsid w:val="00FE531E"/>
    <w:rsid w:val="00FF0F4B"/>
    <w:rsid w:val="00FF5F2E"/>
    <w:rsid w:val="00FF6FDC"/>
    <w:rsid w:val="00FF7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96685"/>
  <w15:docId w15:val="{E7C24323-7900-49DB-AF6E-42C3AF3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8A"/>
  </w:style>
  <w:style w:type="paragraph" w:styleId="Heading1">
    <w:name w:val="heading 1"/>
    <w:basedOn w:val="Normal"/>
    <w:next w:val="Normal"/>
    <w:link w:val="Heading1Char"/>
    <w:uiPriority w:val="9"/>
    <w:qFormat/>
    <w:rsid w:val="00790DFE"/>
    <w:pPr>
      <w:keepNext/>
      <w:keepLines/>
      <w:spacing w:before="480" w:after="0" w:line="240" w:lineRule="auto"/>
      <w:outlineLvl w:val="0"/>
    </w:pPr>
    <w:rPr>
      <w:rFonts w:asciiTheme="majorHAnsi" w:eastAsiaTheme="majorEastAsia" w:hAnsiTheme="majorHAnsi" w:cstheme="majorBidi"/>
      <w:b/>
      <w:bCs/>
      <w:snapToGrid w:val="0"/>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790DFE"/>
    <w:pPr>
      <w:keepNext/>
      <w:keepLines/>
      <w:spacing w:before="200" w:after="0" w:line="240" w:lineRule="auto"/>
      <w:outlineLvl w:val="1"/>
    </w:pPr>
    <w:rPr>
      <w:rFonts w:asciiTheme="majorHAnsi" w:eastAsiaTheme="majorEastAsia" w:hAnsiTheme="majorHAnsi" w:cstheme="majorBidi"/>
      <w:b/>
      <w:bCs/>
      <w:snapToGrid w:val="0"/>
      <w:color w:val="4F81BD" w:themeColor="accent1"/>
      <w:sz w:val="26"/>
      <w:szCs w:val="26"/>
      <w:lang w:eastAsia="ja-JP"/>
    </w:rPr>
  </w:style>
  <w:style w:type="paragraph" w:styleId="Heading3">
    <w:name w:val="heading 3"/>
    <w:basedOn w:val="Normal"/>
    <w:next w:val="Normal"/>
    <w:link w:val="Heading3Char"/>
    <w:unhideWhenUsed/>
    <w:qFormat/>
    <w:rsid w:val="00790D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0DFE"/>
    <w:pPr>
      <w:keepNext/>
      <w:keepLines/>
      <w:spacing w:before="200" w:after="0" w:line="240" w:lineRule="auto"/>
      <w:outlineLvl w:val="3"/>
    </w:pPr>
    <w:rPr>
      <w:rFonts w:asciiTheme="majorHAnsi" w:eastAsiaTheme="majorEastAsia" w:hAnsiTheme="majorHAnsi" w:cstheme="majorBidi"/>
      <w:b/>
      <w:bCs/>
      <w:i/>
      <w:iCs/>
      <w:snapToGrid w:val="0"/>
      <w:color w:val="4F81BD" w:themeColor="accen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C97"/>
    <w:pPr>
      <w:tabs>
        <w:tab w:val="center" w:pos="4703"/>
        <w:tab w:val="right" w:pos="9406"/>
      </w:tabs>
      <w:spacing w:after="0" w:line="240" w:lineRule="auto"/>
    </w:pPr>
  </w:style>
  <w:style w:type="character" w:customStyle="1" w:styleId="HeaderChar">
    <w:name w:val="Header Char"/>
    <w:basedOn w:val="DefaultParagraphFont"/>
    <w:link w:val="Header"/>
    <w:uiPriority w:val="99"/>
    <w:rsid w:val="00DF3C97"/>
  </w:style>
  <w:style w:type="paragraph" w:styleId="Footer">
    <w:name w:val="footer"/>
    <w:basedOn w:val="Normal"/>
    <w:link w:val="FooterChar"/>
    <w:uiPriority w:val="99"/>
    <w:unhideWhenUsed/>
    <w:rsid w:val="00DF3C97"/>
    <w:pPr>
      <w:tabs>
        <w:tab w:val="center" w:pos="4703"/>
        <w:tab w:val="right" w:pos="9406"/>
      </w:tabs>
      <w:spacing w:after="0" w:line="240" w:lineRule="auto"/>
    </w:pPr>
  </w:style>
  <w:style w:type="character" w:customStyle="1" w:styleId="FooterChar">
    <w:name w:val="Footer Char"/>
    <w:basedOn w:val="DefaultParagraphFont"/>
    <w:link w:val="Footer"/>
    <w:uiPriority w:val="99"/>
    <w:rsid w:val="00DF3C97"/>
  </w:style>
  <w:style w:type="paragraph" w:customStyle="1" w:styleId="CONFIDENTIAL">
    <w:name w:val="CONFIDENTIAL"/>
    <w:basedOn w:val="Normal"/>
    <w:rsid w:val="005E0570"/>
    <w:pPr>
      <w:spacing w:before="240" w:after="0" w:line="240" w:lineRule="auto"/>
      <w:ind w:right="708"/>
      <w:jc w:val="right"/>
    </w:pPr>
    <w:rPr>
      <w:rFonts w:ascii="Times New Roman" w:eastAsia="Times New Roman" w:hAnsi="Times New Roman" w:cs="Times New Roman"/>
      <w:b/>
      <w:i/>
      <w:sz w:val="28"/>
      <w:szCs w:val="20"/>
      <w:lang w:val="nl-NL" w:eastAsia="pl-PL"/>
    </w:rPr>
  </w:style>
  <w:style w:type="paragraph" w:styleId="Subtitle">
    <w:name w:val="Subtitle"/>
    <w:basedOn w:val="Normal"/>
    <w:link w:val="SubtitleChar"/>
    <w:qFormat/>
    <w:rsid w:val="005E0570"/>
    <w:pPr>
      <w:overflowPunct w:val="0"/>
      <w:autoSpaceDE w:val="0"/>
      <w:autoSpaceDN w:val="0"/>
      <w:adjustRightInd w:val="0"/>
      <w:spacing w:after="0" w:line="240" w:lineRule="auto"/>
      <w:ind w:left="851"/>
      <w:jc w:val="center"/>
      <w:textAlignment w:val="baseline"/>
    </w:pPr>
    <w:rPr>
      <w:rFonts w:ascii="Times New Roman" w:eastAsia="MS Mincho" w:hAnsi="Times New Roman" w:cs="Times New Roman"/>
      <w:b/>
      <w:bCs/>
      <w:sz w:val="26"/>
      <w:szCs w:val="26"/>
      <w:lang w:val="hu-HU" w:eastAsia="ja-JP"/>
    </w:rPr>
  </w:style>
  <w:style w:type="character" w:customStyle="1" w:styleId="SubtitleChar">
    <w:name w:val="Subtitle Char"/>
    <w:basedOn w:val="DefaultParagraphFont"/>
    <w:link w:val="Subtitle"/>
    <w:rsid w:val="005E0570"/>
    <w:rPr>
      <w:rFonts w:ascii="Times New Roman" w:eastAsia="MS Mincho" w:hAnsi="Times New Roman" w:cs="Times New Roman"/>
      <w:b/>
      <w:bCs/>
      <w:sz w:val="26"/>
      <w:szCs w:val="26"/>
      <w:lang w:val="hu-HU" w:eastAsia="ja-JP"/>
    </w:rPr>
  </w:style>
  <w:style w:type="paragraph" w:customStyle="1" w:styleId="Cover">
    <w:name w:val="Cover"/>
    <w:basedOn w:val="Normal"/>
    <w:rsid w:val="005E0570"/>
    <w:pPr>
      <w:spacing w:after="0" w:line="240" w:lineRule="auto"/>
    </w:pPr>
    <w:rPr>
      <w:rFonts w:ascii="Arial" w:eastAsia="Times New Roman" w:hAnsi="Arial" w:cs="Times New Roman"/>
      <w:b/>
      <w:sz w:val="24"/>
      <w:szCs w:val="20"/>
      <w:lang w:val="nl-NL" w:eastAsia="pl-PL"/>
    </w:rPr>
  </w:style>
  <w:style w:type="paragraph" w:styleId="ListParagraph">
    <w:name w:val="List Paragraph"/>
    <w:basedOn w:val="Normal"/>
    <w:uiPriority w:val="34"/>
    <w:qFormat/>
    <w:rsid w:val="00E439EC"/>
    <w:pPr>
      <w:spacing w:after="0" w:line="240" w:lineRule="auto"/>
      <w:ind w:left="720"/>
      <w:contextualSpacing/>
    </w:pPr>
    <w:rPr>
      <w:rFonts w:ascii="Times New Roman" w:eastAsia="MS Mincho" w:hAnsi="Times New Roman" w:cs="Times New Roman"/>
      <w:sz w:val="28"/>
      <w:szCs w:val="28"/>
      <w:lang w:val="hu-HU" w:eastAsia="ja-JP"/>
    </w:rPr>
  </w:style>
  <w:style w:type="table" w:styleId="TableGrid">
    <w:name w:val="Table Grid"/>
    <w:basedOn w:val="TableNormal"/>
    <w:uiPriority w:val="59"/>
    <w:rsid w:val="00E439EC"/>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0DFE"/>
    <w:rPr>
      <w:rFonts w:asciiTheme="majorHAnsi" w:eastAsiaTheme="majorEastAsia" w:hAnsiTheme="majorHAnsi" w:cstheme="majorBidi"/>
      <w:b/>
      <w:bCs/>
      <w:snapToGrid w:val="0"/>
      <w:color w:val="365F91" w:themeColor="accent1" w:themeShade="BF"/>
      <w:sz w:val="28"/>
      <w:szCs w:val="28"/>
      <w:lang w:eastAsia="ja-JP"/>
    </w:rPr>
  </w:style>
  <w:style w:type="character" w:customStyle="1" w:styleId="Heading3Char">
    <w:name w:val="Heading 3 Char"/>
    <w:basedOn w:val="DefaultParagraphFont"/>
    <w:link w:val="Heading3"/>
    <w:rsid w:val="00790DF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90DFE"/>
    <w:rPr>
      <w:rFonts w:asciiTheme="majorHAnsi" w:eastAsiaTheme="majorEastAsia" w:hAnsiTheme="majorHAnsi" w:cstheme="majorBidi"/>
      <w:b/>
      <w:bCs/>
      <w:snapToGrid w:val="0"/>
      <w:color w:val="4F81BD" w:themeColor="accent1"/>
      <w:sz w:val="26"/>
      <w:szCs w:val="26"/>
      <w:lang w:eastAsia="ja-JP"/>
    </w:rPr>
  </w:style>
  <w:style w:type="character" w:customStyle="1" w:styleId="Heading4Char">
    <w:name w:val="Heading 4 Char"/>
    <w:basedOn w:val="DefaultParagraphFont"/>
    <w:link w:val="Heading4"/>
    <w:uiPriority w:val="9"/>
    <w:rsid w:val="00790DFE"/>
    <w:rPr>
      <w:rFonts w:asciiTheme="majorHAnsi" w:eastAsiaTheme="majorEastAsia" w:hAnsiTheme="majorHAnsi" w:cstheme="majorBidi"/>
      <w:b/>
      <w:bCs/>
      <w:i/>
      <w:iCs/>
      <w:snapToGrid w:val="0"/>
      <w:color w:val="4F81BD" w:themeColor="accent1"/>
      <w:sz w:val="24"/>
      <w:szCs w:val="24"/>
      <w:lang w:eastAsia="ja-JP"/>
    </w:rPr>
  </w:style>
  <w:style w:type="paragraph" w:customStyle="1" w:styleId="StlusArialSorkizrt">
    <w:name w:val="Stílus Arial Sorkizárt"/>
    <w:basedOn w:val="Normal"/>
    <w:rsid w:val="00790DFE"/>
    <w:pPr>
      <w:spacing w:after="0" w:line="240" w:lineRule="auto"/>
      <w:jc w:val="both"/>
    </w:pPr>
    <w:rPr>
      <w:rFonts w:ascii="Arial" w:eastAsia="MS Mincho" w:hAnsi="Arial" w:cs="Arial"/>
      <w:snapToGrid w:val="0"/>
      <w:sz w:val="24"/>
      <w:szCs w:val="24"/>
      <w:lang w:val="en-GB" w:eastAsia="ja-JP"/>
    </w:rPr>
  </w:style>
  <w:style w:type="paragraph" w:styleId="BodyTextIndent2">
    <w:name w:val="Body Text Indent 2"/>
    <w:basedOn w:val="Normal"/>
    <w:link w:val="BodyTextIndent2Char"/>
    <w:rsid w:val="00790DFE"/>
    <w:pPr>
      <w:numPr>
        <w:ilvl w:val="12"/>
      </w:numPr>
      <w:spacing w:after="0" w:line="240" w:lineRule="auto"/>
      <w:ind w:left="567"/>
      <w:jc w:val="both"/>
    </w:pPr>
    <w:rPr>
      <w:rFonts w:ascii="Arial" w:eastAsia="MS Mincho" w:hAnsi="Arial" w:cs="Arial"/>
      <w:snapToGrid w:val="0"/>
      <w:sz w:val="24"/>
      <w:szCs w:val="24"/>
      <w:lang w:eastAsia="ja-JP"/>
    </w:rPr>
  </w:style>
  <w:style w:type="character" w:customStyle="1" w:styleId="BodyTextIndent2Char">
    <w:name w:val="Body Text Indent 2 Char"/>
    <w:basedOn w:val="DefaultParagraphFont"/>
    <w:link w:val="BodyTextIndent2"/>
    <w:rsid w:val="00790DFE"/>
    <w:rPr>
      <w:rFonts w:ascii="Arial" w:eastAsia="MS Mincho" w:hAnsi="Arial" w:cs="Arial"/>
      <w:snapToGrid w:val="0"/>
      <w:sz w:val="24"/>
      <w:szCs w:val="24"/>
      <w:lang w:eastAsia="ja-JP"/>
    </w:rPr>
  </w:style>
  <w:style w:type="paragraph" w:customStyle="1" w:styleId="CharCharCharCharChar">
    <w:name w:val="Char Char Char Char Char"/>
    <w:basedOn w:val="Normal"/>
    <w:rsid w:val="00790DFE"/>
    <w:pPr>
      <w:spacing w:after="160" w:line="240" w:lineRule="exact"/>
    </w:pPr>
    <w:rPr>
      <w:rFonts w:ascii="Verdana" w:eastAsia="Times New Roman" w:hAnsi="Verdana" w:cs="Times New Roman"/>
      <w:sz w:val="20"/>
      <w:szCs w:val="20"/>
    </w:rPr>
  </w:style>
  <w:style w:type="paragraph" w:styleId="NoSpacing">
    <w:name w:val="No Spacing"/>
    <w:uiPriority w:val="1"/>
    <w:qFormat/>
    <w:rsid w:val="00790DFE"/>
    <w:pPr>
      <w:spacing w:after="0" w:line="240" w:lineRule="auto"/>
    </w:pPr>
    <w:rPr>
      <w:rFonts w:ascii="Times New Roman" w:eastAsia="MS Mincho" w:hAnsi="Times New Roman" w:cs="Times New Roman"/>
      <w:snapToGrid w:val="0"/>
      <w:sz w:val="24"/>
      <w:szCs w:val="24"/>
      <w:lang w:val="hu-HU" w:eastAsia="ja-JP"/>
    </w:rPr>
  </w:style>
  <w:style w:type="paragraph" w:customStyle="1" w:styleId="CharCharCharCharCharCharCharCharChar">
    <w:name w:val="Char Char Char Char Char Char Char Char Char"/>
    <w:basedOn w:val="Normal"/>
    <w:rsid w:val="00790DFE"/>
    <w:pPr>
      <w:spacing w:after="160" w:line="240" w:lineRule="exact"/>
    </w:pPr>
    <w:rPr>
      <w:rFonts w:ascii="Verdana" w:eastAsia="Times New Roman" w:hAnsi="Verdana" w:cs="Times New Roman"/>
      <w:sz w:val="20"/>
      <w:szCs w:val="20"/>
    </w:rPr>
  </w:style>
  <w:style w:type="paragraph" w:customStyle="1" w:styleId="style14">
    <w:name w:val="style14"/>
    <w:basedOn w:val="Normal"/>
    <w:rsid w:val="00790DFE"/>
    <w:pPr>
      <w:spacing w:before="100" w:beforeAutospacing="1" w:after="100" w:afterAutospacing="1" w:line="240" w:lineRule="auto"/>
    </w:pPr>
    <w:rPr>
      <w:rFonts w:ascii="Verdana" w:eastAsia="Times New Roman" w:hAnsi="Verdana" w:cs="Times New Roman"/>
      <w:color w:val="003366"/>
      <w:sz w:val="21"/>
      <w:szCs w:val="21"/>
    </w:rPr>
  </w:style>
  <w:style w:type="paragraph" w:styleId="BalloonText">
    <w:name w:val="Balloon Text"/>
    <w:basedOn w:val="Normal"/>
    <w:link w:val="BalloonTextChar"/>
    <w:uiPriority w:val="99"/>
    <w:semiHidden/>
    <w:unhideWhenUsed/>
    <w:rsid w:val="00790DFE"/>
    <w:pPr>
      <w:spacing w:after="0" w:line="240" w:lineRule="auto"/>
    </w:pPr>
    <w:rPr>
      <w:rFonts w:ascii="Tahoma" w:eastAsia="MS Mincho" w:hAnsi="Tahoma" w:cs="Tahoma"/>
      <w:snapToGrid w:val="0"/>
      <w:sz w:val="16"/>
      <w:szCs w:val="16"/>
      <w:lang w:eastAsia="ja-JP"/>
    </w:rPr>
  </w:style>
  <w:style w:type="character" w:customStyle="1" w:styleId="BalloonTextChar">
    <w:name w:val="Balloon Text Char"/>
    <w:basedOn w:val="DefaultParagraphFont"/>
    <w:link w:val="BalloonText"/>
    <w:uiPriority w:val="99"/>
    <w:semiHidden/>
    <w:rsid w:val="00790DFE"/>
    <w:rPr>
      <w:rFonts w:ascii="Tahoma" w:eastAsia="MS Mincho" w:hAnsi="Tahoma" w:cs="Tahoma"/>
      <w:snapToGrid w:val="0"/>
      <w:sz w:val="16"/>
      <w:szCs w:val="16"/>
      <w:lang w:eastAsia="ja-JP"/>
    </w:rPr>
  </w:style>
  <w:style w:type="paragraph" w:styleId="PlainText">
    <w:name w:val="Plain Text"/>
    <w:basedOn w:val="Normal"/>
    <w:link w:val="PlainTextChar"/>
    <w:uiPriority w:val="99"/>
    <w:unhideWhenUsed/>
    <w:rsid w:val="00790DFE"/>
    <w:pPr>
      <w:spacing w:after="0" w:line="240" w:lineRule="auto"/>
    </w:pPr>
    <w:rPr>
      <w:rFonts w:ascii="Arial Narrow" w:eastAsia="Times New Roman" w:hAnsi="Arial Narrow"/>
      <w:color w:val="1F497D" w:themeColor="text2"/>
      <w:szCs w:val="21"/>
    </w:rPr>
  </w:style>
  <w:style w:type="character" w:customStyle="1" w:styleId="PlainTextChar">
    <w:name w:val="Plain Text Char"/>
    <w:basedOn w:val="DefaultParagraphFont"/>
    <w:link w:val="PlainText"/>
    <w:uiPriority w:val="99"/>
    <w:rsid w:val="00790DFE"/>
    <w:rPr>
      <w:rFonts w:ascii="Arial Narrow" w:eastAsia="Times New Roman" w:hAnsi="Arial Narrow"/>
      <w:color w:val="1F497D" w:themeColor="text2"/>
      <w:szCs w:val="21"/>
    </w:rPr>
  </w:style>
  <w:style w:type="character" w:styleId="Hyperlink">
    <w:name w:val="Hyperlink"/>
    <w:basedOn w:val="DefaultParagraphFont"/>
    <w:uiPriority w:val="99"/>
    <w:unhideWhenUsed/>
    <w:rsid w:val="00790DFE"/>
    <w:rPr>
      <w:color w:val="0000FF" w:themeColor="hyperlink"/>
      <w:u w:val="single"/>
    </w:rPr>
  </w:style>
  <w:style w:type="paragraph" w:styleId="NormalWeb">
    <w:name w:val="Normal (Web)"/>
    <w:basedOn w:val="Normal"/>
    <w:uiPriority w:val="99"/>
    <w:semiHidden/>
    <w:unhideWhenUsed/>
    <w:rsid w:val="00790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790DFE"/>
  </w:style>
  <w:style w:type="character" w:styleId="Emphasis">
    <w:name w:val="Emphasis"/>
    <w:basedOn w:val="DefaultParagraphFont"/>
    <w:uiPriority w:val="20"/>
    <w:qFormat/>
    <w:rsid w:val="00790DFE"/>
    <w:rPr>
      <w:i/>
      <w:iCs/>
    </w:rPr>
  </w:style>
  <w:style w:type="paragraph" w:customStyle="1" w:styleId="xl34">
    <w:name w:val="xl34"/>
    <w:basedOn w:val="Normal"/>
    <w:rsid w:val="00790DFE"/>
    <w:pPr>
      <w:pBdr>
        <w:right w:val="single" w:sz="4" w:space="0" w:color="000000"/>
      </w:pBdr>
      <w:shd w:val="clear" w:color="auto" w:fill="FFFFFF"/>
      <w:spacing w:before="100" w:beforeAutospacing="1" w:after="100" w:afterAutospacing="1" w:line="240" w:lineRule="auto"/>
      <w:jc w:val="center"/>
    </w:pPr>
    <w:rPr>
      <w:rFonts w:ascii="Times New Roman" w:eastAsia="Arial Unicode MS" w:hAnsi="Times New Roman" w:cs="Times New Roman"/>
      <w:i/>
      <w:iCs/>
      <w:sz w:val="20"/>
      <w:szCs w:val="20"/>
      <w:lang w:val="ru-RU" w:eastAsia="ru-RU"/>
    </w:rPr>
  </w:style>
  <w:style w:type="paragraph" w:styleId="BodyText">
    <w:name w:val="Body Text"/>
    <w:basedOn w:val="Normal"/>
    <w:link w:val="BodyTextChar"/>
    <w:uiPriority w:val="99"/>
    <w:unhideWhenUsed/>
    <w:rsid w:val="00790DFE"/>
    <w:pPr>
      <w:spacing w:after="120" w:line="240" w:lineRule="auto"/>
    </w:pPr>
    <w:rPr>
      <w:rFonts w:ascii="Times New Roman" w:eastAsia="MS Mincho" w:hAnsi="Times New Roman" w:cs="Times New Roman"/>
      <w:snapToGrid w:val="0"/>
      <w:sz w:val="24"/>
      <w:szCs w:val="24"/>
      <w:lang w:eastAsia="ja-JP"/>
    </w:rPr>
  </w:style>
  <w:style w:type="character" w:customStyle="1" w:styleId="BodyTextChar">
    <w:name w:val="Body Text Char"/>
    <w:basedOn w:val="DefaultParagraphFont"/>
    <w:link w:val="BodyText"/>
    <w:uiPriority w:val="99"/>
    <w:rsid w:val="00790DFE"/>
    <w:rPr>
      <w:rFonts w:ascii="Times New Roman" w:eastAsia="MS Mincho" w:hAnsi="Times New Roman" w:cs="Times New Roman"/>
      <w:snapToGrid w:val="0"/>
      <w:sz w:val="24"/>
      <w:szCs w:val="24"/>
      <w:lang w:eastAsia="ja-JP"/>
    </w:rPr>
  </w:style>
  <w:style w:type="character" w:styleId="CommentReference">
    <w:name w:val="annotation reference"/>
    <w:basedOn w:val="DefaultParagraphFont"/>
    <w:rsid w:val="0001141E"/>
    <w:rPr>
      <w:sz w:val="16"/>
      <w:szCs w:val="16"/>
    </w:rPr>
  </w:style>
  <w:style w:type="paragraph" w:styleId="CommentText">
    <w:name w:val="annotation text"/>
    <w:basedOn w:val="Normal"/>
    <w:link w:val="CommentTextChar"/>
    <w:rsid w:val="000114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114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D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80D55"/>
    <w:rPr>
      <w:rFonts w:ascii="Times New Roman" w:eastAsia="Times New Roman" w:hAnsi="Times New Roman" w:cs="Times New Roman"/>
      <w:b/>
      <w:bCs/>
      <w:sz w:val="20"/>
      <w:szCs w:val="20"/>
    </w:rPr>
  </w:style>
  <w:style w:type="paragraph" w:styleId="Revision">
    <w:name w:val="Revision"/>
    <w:hidden/>
    <w:uiPriority w:val="99"/>
    <w:semiHidden/>
    <w:rsid w:val="006D4729"/>
    <w:pPr>
      <w:spacing w:after="0" w:line="240" w:lineRule="auto"/>
    </w:pPr>
  </w:style>
  <w:style w:type="character" w:styleId="PlaceholderText">
    <w:name w:val="Placeholder Text"/>
    <w:basedOn w:val="DefaultParagraphFont"/>
    <w:uiPriority w:val="99"/>
    <w:semiHidden/>
    <w:rsid w:val="006A72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603">
      <w:bodyDiv w:val="1"/>
      <w:marLeft w:val="0"/>
      <w:marRight w:val="0"/>
      <w:marTop w:val="0"/>
      <w:marBottom w:val="0"/>
      <w:divBdr>
        <w:top w:val="none" w:sz="0" w:space="0" w:color="auto"/>
        <w:left w:val="none" w:sz="0" w:space="0" w:color="auto"/>
        <w:bottom w:val="none" w:sz="0" w:space="0" w:color="auto"/>
        <w:right w:val="none" w:sz="0" w:space="0" w:color="auto"/>
      </w:divBdr>
    </w:div>
    <w:div w:id="82606882">
      <w:bodyDiv w:val="1"/>
      <w:marLeft w:val="0"/>
      <w:marRight w:val="0"/>
      <w:marTop w:val="0"/>
      <w:marBottom w:val="0"/>
      <w:divBdr>
        <w:top w:val="none" w:sz="0" w:space="0" w:color="auto"/>
        <w:left w:val="none" w:sz="0" w:space="0" w:color="auto"/>
        <w:bottom w:val="none" w:sz="0" w:space="0" w:color="auto"/>
        <w:right w:val="none" w:sz="0" w:space="0" w:color="auto"/>
      </w:divBdr>
    </w:div>
    <w:div w:id="280114117">
      <w:bodyDiv w:val="1"/>
      <w:marLeft w:val="0"/>
      <w:marRight w:val="0"/>
      <w:marTop w:val="0"/>
      <w:marBottom w:val="0"/>
      <w:divBdr>
        <w:top w:val="none" w:sz="0" w:space="0" w:color="auto"/>
        <w:left w:val="none" w:sz="0" w:space="0" w:color="auto"/>
        <w:bottom w:val="none" w:sz="0" w:space="0" w:color="auto"/>
        <w:right w:val="none" w:sz="0" w:space="0" w:color="auto"/>
      </w:divBdr>
    </w:div>
    <w:div w:id="459153032">
      <w:bodyDiv w:val="1"/>
      <w:marLeft w:val="0"/>
      <w:marRight w:val="0"/>
      <w:marTop w:val="0"/>
      <w:marBottom w:val="0"/>
      <w:divBdr>
        <w:top w:val="none" w:sz="0" w:space="0" w:color="auto"/>
        <w:left w:val="none" w:sz="0" w:space="0" w:color="auto"/>
        <w:bottom w:val="none" w:sz="0" w:space="0" w:color="auto"/>
        <w:right w:val="none" w:sz="0" w:space="0" w:color="auto"/>
      </w:divBdr>
    </w:div>
    <w:div w:id="638993477">
      <w:bodyDiv w:val="1"/>
      <w:marLeft w:val="0"/>
      <w:marRight w:val="0"/>
      <w:marTop w:val="0"/>
      <w:marBottom w:val="0"/>
      <w:divBdr>
        <w:top w:val="none" w:sz="0" w:space="0" w:color="auto"/>
        <w:left w:val="none" w:sz="0" w:space="0" w:color="auto"/>
        <w:bottom w:val="none" w:sz="0" w:space="0" w:color="auto"/>
        <w:right w:val="none" w:sz="0" w:space="0" w:color="auto"/>
      </w:divBdr>
    </w:div>
    <w:div w:id="639116134">
      <w:bodyDiv w:val="1"/>
      <w:marLeft w:val="0"/>
      <w:marRight w:val="0"/>
      <w:marTop w:val="0"/>
      <w:marBottom w:val="0"/>
      <w:divBdr>
        <w:top w:val="none" w:sz="0" w:space="0" w:color="auto"/>
        <w:left w:val="none" w:sz="0" w:space="0" w:color="auto"/>
        <w:bottom w:val="none" w:sz="0" w:space="0" w:color="auto"/>
        <w:right w:val="none" w:sz="0" w:space="0" w:color="auto"/>
      </w:divBdr>
    </w:div>
    <w:div w:id="738283313">
      <w:bodyDiv w:val="1"/>
      <w:marLeft w:val="0"/>
      <w:marRight w:val="0"/>
      <w:marTop w:val="0"/>
      <w:marBottom w:val="0"/>
      <w:divBdr>
        <w:top w:val="none" w:sz="0" w:space="0" w:color="auto"/>
        <w:left w:val="none" w:sz="0" w:space="0" w:color="auto"/>
        <w:bottom w:val="none" w:sz="0" w:space="0" w:color="auto"/>
        <w:right w:val="none" w:sz="0" w:space="0" w:color="auto"/>
      </w:divBdr>
    </w:div>
    <w:div w:id="801970275">
      <w:bodyDiv w:val="1"/>
      <w:marLeft w:val="0"/>
      <w:marRight w:val="0"/>
      <w:marTop w:val="0"/>
      <w:marBottom w:val="0"/>
      <w:divBdr>
        <w:top w:val="none" w:sz="0" w:space="0" w:color="auto"/>
        <w:left w:val="none" w:sz="0" w:space="0" w:color="auto"/>
        <w:bottom w:val="none" w:sz="0" w:space="0" w:color="auto"/>
        <w:right w:val="none" w:sz="0" w:space="0" w:color="auto"/>
      </w:divBdr>
    </w:div>
    <w:div w:id="1057049625">
      <w:bodyDiv w:val="1"/>
      <w:marLeft w:val="0"/>
      <w:marRight w:val="0"/>
      <w:marTop w:val="0"/>
      <w:marBottom w:val="0"/>
      <w:divBdr>
        <w:top w:val="none" w:sz="0" w:space="0" w:color="auto"/>
        <w:left w:val="none" w:sz="0" w:space="0" w:color="auto"/>
        <w:bottom w:val="none" w:sz="0" w:space="0" w:color="auto"/>
        <w:right w:val="none" w:sz="0" w:space="0" w:color="auto"/>
      </w:divBdr>
    </w:div>
    <w:div w:id="1173885185">
      <w:bodyDiv w:val="1"/>
      <w:marLeft w:val="0"/>
      <w:marRight w:val="0"/>
      <w:marTop w:val="0"/>
      <w:marBottom w:val="0"/>
      <w:divBdr>
        <w:top w:val="none" w:sz="0" w:space="0" w:color="auto"/>
        <w:left w:val="none" w:sz="0" w:space="0" w:color="auto"/>
        <w:bottom w:val="none" w:sz="0" w:space="0" w:color="auto"/>
        <w:right w:val="none" w:sz="0" w:space="0" w:color="auto"/>
      </w:divBdr>
    </w:div>
    <w:div w:id="1349597635">
      <w:bodyDiv w:val="1"/>
      <w:marLeft w:val="0"/>
      <w:marRight w:val="0"/>
      <w:marTop w:val="0"/>
      <w:marBottom w:val="0"/>
      <w:divBdr>
        <w:top w:val="none" w:sz="0" w:space="0" w:color="auto"/>
        <w:left w:val="none" w:sz="0" w:space="0" w:color="auto"/>
        <w:bottom w:val="none" w:sz="0" w:space="0" w:color="auto"/>
        <w:right w:val="none" w:sz="0" w:space="0" w:color="auto"/>
      </w:divBdr>
    </w:div>
    <w:div w:id="1351755596">
      <w:bodyDiv w:val="1"/>
      <w:marLeft w:val="0"/>
      <w:marRight w:val="0"/>
      <w:marTop w:val="0"/>
      <w:marBottom w:val="0"/>
      <w:divBdr>
        <w:top w:val="none" w:sz="0" w:space="0" w:color="auto"/>
        <w:left w:val="none" w:sz="0" w:space="0" w:color="auto"/>
        <w:bottom w:val="none" w:sz="0" w:space="0" w:color="auto"/>
        <w:right w:val="none" w:sz="0" w:space="0" w:color="auto"/>
      </w:divBdr>
    </w:div>
    <w:div w:id="1459452515">
      <w:bodyDiv w:val="1"/>
      <w:marLeft w:val="0"/>
      <w:marRight w:val="0"/>
      <w:marTop w:val="0"/>
      <w:marBottom w:val="0"/>
      <w:divBdr>
        <w:top w:val="none" w:sz="0" w:space="0" w:color="auto"/>
        <w:left w:val="none" w:sz="0" w:space="0" w:color="auto"/>
        <w:bottom w:val="none" w:sz="0" w:space="0" w:color="auto"/>
        <w:right w:val="none" w:sz="0" w:space="0" w:color="auto"/>
      </w:divBdr>
    </w:div>
    <w:div w:id="1556351558">
      <w:bodyDiv w:val="1"/>
      <w:marLeft w:val="0"/>
      <w:marRight w:val="0"/>
      <w:marTop w:val="0"/>
      <w:marBottom w:val="0"/>
      <w:divBdr>
        <w:top w:val="none" w:sz="0" w:space="0" w:color="auto"/>
        <w:left w:val="none" w:sz="0" w:space="0" w:color="auto"/>
        <w:bottom w:val="none" w:sz="0" w:space="0" w:color="auto"/>
        <w:right w:val="none" w:sz="0" w:space="0" w:color="auto"/>
      </w:divBdr>
    </w:div>
    <w:div w:id="1617181220">
      <w:bodyDiv w:val="1"/>
      <w:marLeft w:val="0"/>
      <w:marRight w:val="0"/>
      <w:marTop w:val="0"/>
      <w:marBottom w:val="0"/>
      <w:divBdr>
        <w:top w:val="none" w:sz="0" w:space="0" w:color="auto"/>
        <w:left w:val="none" w:sz="0" w:space="0" w:color="auto"/>
        <w:bottom w:val="none" w:sz="0" w:space="0" w:color="auto"/>
        <w:right w:val="none" w:sz="0" w:space="0" w:color="auto"/>
      </w:divBdr>
    </w:div>
    <w:div w:id="1626109460">
      <w:bodyDiv w:val="1"/>
      <w:marLeft w:val="0"/>
      <w:marRight w:val="0"/>
      <w:marTop w:val="0"/>
      <w:marBottom w:val="0"/>
      <w:divBdr>
        <w:top w:val="none" w:sz="0" w:space="0" w:color="auto"/>
        <w:left w:val="none" w:sz="0" w:space="0" w:color="auto"/>
        <w:bottom w:val="none" w:sz="0" w:space="0" w:color="auto"/>
        <w:right w:val="none" w:sz="0" w:space="0" w:color="auto"/>
      </w:divBdr>
    </w:div>
    <w:div w:id="1860850254">
      <w:bodyDiv w:val="1"/>
      <w:marLeft w:val="0"/>
      <w:marRight w:val="0"/>
      <w:marTop w:val="0"/>
      <w:marBottom w:val="0"/>
      <w:divBdr>
        <w:top w:val="none" w:sz="0" w:space="0" w:color="auto"/>
        <w:left w:val="none" w:sz="0" w:space="0" w:color="auto"/>
        <w:bottom w:val="none" w:sz="0" w:space="0" w:color="auto"/>
        <w:right w:val="none" w:sz="0" w:space="0" w:color="auto"/>
      </w:divBdr>
    </w:div>
    <w:div w:id="2024092720">
      <w:bodyDiv w:val="1"/>
      <w:marLeft w:val="0"/>
      <w:marRight w:val="0"/>
      <w:marTop w:val="0"/>
      <w:marBottom w:val="0"/>
      <w:divBdr>
        <w:top w:val="none" w:sz="0" w:space="0" w:color="auto"/>
        <w:left w:val="none" w:sz="0" w:space="0" w:color="auto"/>
        <w:bottom w:val="none" w:sz="0" w:space="0" w:color="auto"/>
        <w:right w:val="none" w:sz="0" w:space="0" w:color="auto"/>
      </w:divBdr>
    </w:div>
    <w:div w:id="2072995083">
      <w:bodyDiv w:val="1"/>
      <w:marLeft w:val="0"/>
      <w:marRight w:val="0"/>
      <w:marTop w:val="0"/>
      <w:marBottom w:val="0"/>
      <w:divBdr>
        <w:top w:val="none" w:sz="0" w:space="0" w:color="auto"/>
        <w:left w:val="none" w:sz="0" w:space="0" w:color="auto"/>
        <w:bottom w:val="none" w:sz="0" w:space="0" w:color="auto"/>
        <w:right w:val="none" w:sz="0" w:space="0" w:color="auto"/>
      </w:divBdr>
    </w:div>
    <w:div w:id="2074503588">
      <w:bodyDiv w:val="1"/>
      <w:marLeft w:val="0"/>
      <w:marRight w:val="0"/>
      <w:marTop w:val="0"/>
      <w:marBottom w:val="0"/>
      <w:divBdr>
        <w:top w:val="none" w:sz="0" w:space="0" w:color="auto"/>
        <w:left w:val="none" w:sz="0" w:space="0" w:color="auto"/>
        <w:bottom w:val="none" w:sz="0" w:space="0" w:color="auto"/>
        <w:right w:val="none" w:sz="0" w:space="0" w:color="auto"/>
      </w:divBdr>
    </w:div>
    <w:div w:id="21055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2622C2-1D40-4E03-81C2-AAA4F01283E3}"/>
      </w:docPartPr>
      <w:docPartBody>
        <w:p w:rsidR="002E5116" w:rsidRDefault="00173FD2">
          <w:r w:rsidRPr="00E928F2">
            <w:rPr>
              <w:rStyle w:val="PlaceholderText"/>
            </w:rPr>
            <w:t>Choose an item.</w:t>
          </w:r>
        </w:p>
      </w:docPartBody>
    </w:docPart>
    <w:docPart>
      <w:docPartPr>
        <w:name w:val="E7701AC4B1D1435CA52F549BB3B45A68"/>
        <w:category>
          <w:name w:val="General"/>
          <w:gallery w:val="placeholder"/>
        </w:category>
        <w:types>
          <w:type w:val="bbPlcHdr"/>
        </w:types>
        <w:behaviors>
          <w:behavior w:val="content"/>
        </w:behaviors>
        <w:guid w:val="{3D4C98D2-2E71-4406-B01D-E70C86851C44}"/>
      </w:docPartPr>
      <w:docPartBody>
        <w:p w:rsidR="002E5116" w:rsidRDefault="00173FD2" w:rsidP="00173FD2">
          <w:pPr>
            <w:pStyle w:val="E7701AC4B1D1435CA52F549BB3B45A683"/>
          </w:pPr>
          <w:r w:rsidRPr="00E928F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34408AF-669E-4705-9DB4-A57C639D4A74}"/>
      </w:docPartPr>
      <w:docPartBody>
        <w:p w:rsidR="002E5116" w:rsidRDefault="00173FD2">
          <w:r w:rsidRPr="00E928F2">
            <w:rPr>
              <w:rStyle w:val="PlaceholderText"/>
            </w:rPr>
            <w:t>Click or tap to enter a date.</w:t>
          </w:r>
        </w:p>
      </w:docPartBody>
    </w:docPart>
    <w:docPart>
      <w:docPartPr>
        <w:name w:val="5677A97AA0BB47B2BAC1C07F7C6BE7F2"/>
        <w:category>
          <w:name w:val="General"/>
          <w:gallery w:val="placeholder"/>
        </w:category>
        <w:types>
          <w:type w:val="bbPlcHdr"/>
        </w:types>
        <w:behaviors>
          <w:behavior w:val="content"/>
        </w:behaviors>
        <w:guid w:val="{83EF09C6-EF27-4B52-9180-B413E078E47E}"/>
      </w:docPartPr>
      <w:docPartBody>
        <w:p w:rsidR="002E5116" w:rsidRDefault="00173FD2" w:rsidP="00173FD2">
          <w:pPr>
            <w:pStyle w:val="5677A97AA0BB47B2BAC1C07F7C6BE7F21"/>
          </w:pPr>
          <w:r w:rsidRPr="00E928F2">
            <w:rPr>
              <w:rStyle w:val="PlaceholderText"/>
            </w:rPr>
            <w:t>Choose an item.</w:t>
          </w:r>
        </w:p>
      </w:docPartBody>
    </w:docPart>
    <w:docPart>
      <w:docPartPr>
        <w:name w:val="7FE49336A121491E83F53EE48B90BB62"/>
        <w:category>
          <w:name w:val="General"/>
          <w:gallery w:val="placeholder"/>
        </w:category>
        <w:types>
          <w:type w:val="bbPlcHdr"/>
        </w:types>
        <w:behaviors>
          <w:behavior w:val="content"/>
        </w:behaviors>
        <w:guid w:val="{C7994EB7-E092-4158-B1B5-85688F66BF62}"/>
      </w:docPartPr>
      <w:docPartBody>
        <w:p w:rsidR="002E5116" w:rsidRDefault="00173FD2" w:rsidP="00173FD2">
          <w:pPr>
            <w:pStyle w:val="7FE49336A121491E83F53EE48B90BB621"/>
          </w:pPr>
          <w:r w:rsidRPr="00E928F2">
            <w:rPr>
              <w:rStyle w:val="PlaceholderText"/>
            </w:rPr>
            <w:t>Choose an item.</w:t>
          </w:r>
        </w:p>
      </w:docPartBody>
    </w:docPart>
    <w:docPart>
      <w:docPartPr>
        <w:name w:val="D0C778B9B4054A0C96DD81C9BF1BA383"/>
        <w:category>
          <w:name w:val="General"/>
          <w:gallery w:val="placeholder"/>
        </w:category>
        <w:types>
          <w:type w:val="bbPlcHdr"/>
        </w:types>
        <w:behaviors>
          <w:behavior w:val="content"/>
        </w:behaviors>
        <w:guid w:val="{2D12C1BA-34DD-4206-B55A-105F87872949}"/>
      </w:docPartPr>
      <w:docPartBody>
        <w:p w:rsidR="002E5116" w:rsidRDefault="00173FD2" w:rsidP="00173FD2">
          <w:pPr>
            <w:pStyle w:val="D0C778B9B4054A0C96DD81C9BF1BA3831"/>
          </w:pPr>
          <w:r w:rsidRPr="00E928F2">
            <w:rPr>
              <w:rStyle w:val="PlaceholderText"/>
            </w:rPr>
            <w:t>Choose an item.</w:t>
          </w:r>
        </w:p>
      </w:docPartBody>
    </w:docPart>
    <w:docPart>
      <w:docPartPr>
        <w:name w:val="E48A606D38B74E8E94FE29DDFB57B3A9"/>
        <w:category>
          <w:name w:val="General"/>
          <w:gallery w:val="placeholder"/>
        </w:category>
        <w:types>
          <w:type w:val="bbPlcHdr"/>
        </w:types>
        <w:behaviors>
          <w:behavior w:val="content"/>
        </w:behaviors>
        <w:guid w:val="{A0D26073-5F7B-47FA-89F0-A15697AB166B}"/>
      </w:docPartPr>
      <w:docPartBody>
        <w:p w:rsidR="002E5116" w:rsidRDefault="00173FD2" w:rsidP="00173FD2">
          <w:pPr>
            <w:pStyle w:val="E48A606D38B74E8E94FE29DDFB57B3A91"/>
          </w:pPr>
          <w:r w:rsidRPr="00E928F2">
            <w:rPr>
              <w:rStyle w:val="PlaceholderText"/>
            </w:rPr>
            <w:t>Choose an item.</w:t>
          </w:r>
        </w:p>
      </w:docPartBody>
    </w:docPart>
    <w:docPart>
      <w:docPartPr>
        <w:name w:val="A00A27A0EB484624A79369CD5A2D0A9E"/>
        <w:category>
          <w:name w:val="General"/>
          <w:gallery w:val="placeholder"/>
        </w:category>
        <w:types>
          <w:type w:val="bbPlcHdr"/>
        </w:types>
        <w:behaviors>
          <w:behavior w:val="content"/>
        </w:behaviors>
        <w:guid w:val="{9B31A145-8928-459F-A496-98AC2B1A84C6}"/>
      </w:docPartPr>
      <w:docPartBody>
        <w:p w:rsidR="002E5116" w:rsidRDefault="00173FD2" w:rsidP="00173FD2">
          <w:pPr>
            <w:pStyle w:val="A00A27A0EB484624A79369CD5A2D0A9E1"/>
          </w:pPr>
          <w:r w:rsidRPr="00E928F2">
            <w:rPr>
              <w:rStyle w:val="PlaceholderText"/>
            </w:rPr>
            <w:t>Choose an item.</w:t>
          </w:r>
        </w:p>
      </w:docPartBody>
    </w:docPart>
    <w:docPart>
      <w:docPartPr>
        <w:name w:val="3CBC871ECF0A478589BF88CF30710186"/>
        <w:category>
          <w:name w:val="General"/>
          <w:gallery w:val="placeholder"/>
        </w:category>
        <w:types>
          <w:type w:val="bbPlcHdr"/>
        </w:types>
        <w:behaviors>
          <w:behavior w:val="content"/>
        </w:behaviors>
        <w:guid w:val="{1995E0D3-62D3-4D60-89FF-CC073FA97CEC}"/>
      </w:docPartPr>
      <w:docPartBody>
        <w:p w:rsidR="002E5116" w:rsidRDefault="00173FD2" w:rsidP="00173FD2">
          <w:pPr>
            <w:pStyle w:val="3CBC871ECF0A478589BF88CF307101861"/>
          </w:pPr>
          <w:r w:rsidRPr="00E928F2">
            <w:rPr>
              <w:rStyle w:val="PlaceholderText"/>
            </w:rPr>
            <w:t>Choose an item.</w:t>
          </w:r>
        </w:p>
      </w:docPartBody>
    </w:docPart>
    <w:docPart>
      <w:docPartPr>
        <w:name w:val="214051E03E67420CAFE43CA182BBBE07"/>
        <w:category>
          <w:name w:val="General"/>
          <w:gallery w:val="placeholder"/>
        </w:category>
        <w:types>
          <w:type w:val="bbPlcHdr"/>
        </w:types>
        <w:behaviors>
          <w:behavior w:val="content"/>
        </w:behaviors>
        <w:guid w:val="{485DB58E-2366-456F-8288-CCCB69895A7C}"/>
      </w:docPartPr>
      <w:docPartBody>
        <w:p w:rsidR="002E5116" w:rsidRDefault="00173FD2" w:rsidP="00173FD2">
          <w:pPr>
            <w:pStyle w:val="214051E03E67420CAFE43CA182BBBE071"/>
          </w:pPr>
          <w:r w:rsidRPr="00E928F2">
            <w:rPr>
              <w:rStyle w:val="PlaceholderText"/>
            </w:rPr>
            <w:t>Choose an item.</w:t>
          </w:r>
        </w:p>
      </w:docPartBody>
    </w:docPart>
    <w:docPart>
      <w:docPartPr>
        <w:name w:val="A947C6DE1C6241C79675F7BCFB1206CE"/>
        <w:category>
          <w:name w:val="General"/>
          <w:gallery w:val="placeholder"/>
        </w:category>
        <w:types>
          <w:type w:val="bbPlcHdr"/>
        </w:types>
        <w:behaviors>
          <w:behavior w:val="content"/>
        </w:behaviors>
        <w:guid w:val="{97216DF0-43E4-4C24-92FF-5B93AE37C474}"/>
      </w:docPartPr>
      <w:docPartBody>
        <w:p w:rsidR="002E5116" w:rsidRDefault="00173FD2" w:rsidP="00173FD2">
          <w:pPr>
            <w:pStyle w:val="A947C6DE1C6241C79675F7BCFB1206CE1"/>
          </w:pPr>
          <w:r w:rsidRPr="00E928F2">
            <w:rPr>
              <w:rStyle w:val="PlaceholderText"/>
            </w:rPr>
            <w:t>Choose an item.</w:t>
          </w:r>
        </w:p>
      </w:docPartBody>
    </w:docPart>
    <w:docPart>
      <w:docPartPr>
        <w:name w:val="576B6556CEEB43408B0F0F4E71BD48BC"/>
        <w:category>
          <w:name w:val="General"/>
          <w:gallery w:val="placeholder"/>
        </w:category>
        <w:types>
          <w:type w:val="bbPlcHdr"/>
        </w:types>
        <w:behaviors>
          <w:behavior w:val="content"/>
        </w:behaviors>
        <w:guid w:val="{E5CC6F8F-658A-4569-A4E2-B9FAB751BAA3}"/>
      </w:docPartPr>
      <w:docPartBody>
        <w:p w:rsidR="002E5116" w:rsidRDefault="00173FD2" w:rsidP="00173FD2">
          <w:pPr>
            <w:pStyle w:val="576B6556CEEB43408B0F0F4E71BD48BC"/>
          </w:pPr>
          <w:r w:rsidRPr="00E928F2">
            <w:rPr>
              <w:rStyle w:val="PlaceholderText"/>
            </w:rPr>
            <w:t>Choose an item.</w:t>
          </w:r>
        </w:p>
      </w:docPartBody>
    </w:docPart>
    <w:docPart>
      <w:docPartPr>
        <w:name w:val="A83D35CCEAAE4E89974FCFB00BDA43F5"/>
        <w:category>
          <w:name w:val="General"/>
          <w:gallery w:val="placeholder"/>
        </w:category>
        <w:types>
          <w:type w:val="bbPlcHdr"/>
        </w:types>
        <w:behaviors>
          <w:behavior w:val="content"/>
        </w:behaviors>
        <w:guid w:val="{4161F391-89AA-42F7-A801-7295C47AA641}"/>
      </w:docPartPr>
      <w:docPartBody>
        <w:p w:rsidR="002E5116" w:rsidRDefault="00173FD2" w:rsidP="00173FD2">
          <w:pPr>
            <w:pStyle w:val="A83D35CCEAAE4E89974FCFB00BDA43F5"/>
          </w:pPr>
          <w:r w:rsidRPr="00E928F2">
            <w:rPr>
              <w:rStyle w:val="PlaceholderText"/>
            </w:rPr>
            <w:t>Choose an item.</w:t>
          </w:r>
        </w:p>
      </w:docPartBody>
    </w:docPart>
    <w:docPart>
      <w:docPartPr>
        <w:name w:val="D47E721D97B44D48A4F344F1FE3FA6CA"/>
        <w:category>
          <w:name w:val="General"/>
          <w:gallery w:val="placeholder"/>
        </w:category>
        <w:types>
          <w:type w:val="bbPlcHdr"/>
        </w:types>
        <w:behaviors>
          <w:behavior w:val="content"/>
        </w:behaviors>
        <w:guid w:val="{F33D942E-61F0-4A83-824B-D81053DC2F29}"/>
      </w:docPartPr>
      <w:docPartBody>
        <w:p w:rsidR="002E5116" w:rsidRDefault="00173FD2" w:rsidP="00173FD2">
          <w:pPr>
            <w:pStyle w:val="D47E721D97B44D48A4F344F1FE3FA6CA"/>
          </w:pPr>
          <w:r w:rsidRPr="00E928F2">
            <w:rPr>
              <w:rStyle w:val="PlaceholderText"/>
            </w:rPr>
            <w:t>Choose an item.</w:t>
          </w:r>
        </w:p>
      </w:docPartBody>
    </w:docPart>
    <w:docPart>
      <w:docPartPr>
        <w:name w:val="BB69FBC714694F3F8170E44AD1B64BD1"/>
        <w:category>
          <w:name w:val="General"/>
          <w:gallery w:val="placeholder"/>
        </w:category>
        <w:types>
          <w:type w:val="bbPlcHdr"/>
        </w:types>
        <w:behaviors>
          <w:behavior w:val="content"/>
        </w:behaviors>
        <w:guid w:val="{68EF5838-EA80-4ACB-90AA-918CBE0DE871}"/>
      </w:docPartPr>
      <w:docPartBody>
        <w:p w:rsidR="002E5116" w:rsidRDefault="00173FD2" w:rsidP="00173FD2">
          <w:pPr>
            <w:pStyle w:val="BB69FBC714694F3F8170E44AD1B64BD1"/>
          </w:pPr>
          <w:r w:rsidRPr="00E928F2">
            <w:rPr>
              <w:rStyle w:val="PlaceholderText"/>
            </w:rPr>
            <w:t>Choose an item.</w:t>
          </w:r>
        </w:p>
      </w:docPartBody>
    </w:docPart>
    <w:docPart>
      <w:docPartPr>
        <w:name w:val="89217B1106F6423191F07CEF8F458898"/>
        <w:category>
          <w:name w:val="General"/>
          <w:gallery w:val="placeholder"/>
        </w:category>
        <w:types>
          <w:type w:val="bbPlcHdr"/>
        </w:types>
        <w:behaviors>
          <w:behavior w:val="content"/>
        </w:behaviors>
        <w:guid w:val="{0F33EDC7-BE69-4276-82AF-F9AD6727BB6E}"/>
      </w:docPartPr>
      <w:docPartBody>
        <w:p w:rsidR="002E5116" w:rsidRDefault="00173FD2" w:rsidP="00173FD2">
          <w:pPr>
            <w:pStyle w:val="89217B1106F6423191F07CEF8F458898"/>
          </w:pPr>
          <w:r w:rsidRPr="00E928F2">
            <w:rPr>
              <w:rStyle w:val="PlaceholderText"/>
            </w:rPr>
            <w:t>Choose an item.</w:t>
          </w:r>
        </w:p>
      </w:docPartBody>
    </w:docPart>
    <w:docPart>
      <w:docPartPr>
        <w:name w:val="0EC176984E7D4CAF960A0C28AA3E7E4B"/>
        <w:category>
          <w:name w:val="General"/>
          <w:gallery w:val="placeholder"/>
        </w:category>
        <w:types>
          <w:type w:val="bbPlcHdr"/>
        </w:types>
        <w:behaviors>
          <w:behavior w:val="content"/>
        </w:behaviors>
        <w:guid w:val="{0A6A0DD4-2BA8-47C3-ACBB-C2FD2CBD838E}"/>
      </w:docPartPr>
      <w:docPartBody>
        <w:p w:rsidR="002E5116" w:rsidRDefault="00173FD2" w:rsidP="00173FD2">
          <w:pPr>
            <w:pStyle w:val="0EC176984E7D4CAF960A0C28AA3E7E4B"/>
          </w:pPr>
          <w:r w:rsidRPr="00E928F2">
            <w:rPr>
              <w:rStyle w:val="PlaceholderText"/>
            </w:rPr>
            <w:t>Choose an item.</w:t>
          </w:r>
        </w:p>
      </w:docPartBody>
    </w:docPart>
    <w:docPart>
      <w:docPartPr>
        <w:name w:val="1D2064BB7BA040FD97829C5AE5F1AB97"/>
        <w:category>
          <w:name w:val="General"/>
          <w:gallery w:val="placeholder"/>
        </w:category>
        <w:types>
          <w:type w:val="bbPlcHdr"/>
        </w:types>
        <w:behaviors>
          <w:behavior w:val="content"/>
        </w:behaviors>
        <w:guid w:val="{0B3848A6-BED6-4986-A3AC-242ECC17272F}"/>
      </w:docPartPr>
      <w:docPartBody>
        <w:p w:rsidR="002E5116" w:rsidRDefault="00173FD2" w:rsidP="00173FD2">
          <w:pPr>
            <w:pStyle w:val="1D2064BB7BA040FD97829C5AE5F1AB97"/>
          </w:pPr>
          <w:r w:rsidRPr="00E928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D2"/>
    <w:rsid w:val="000526DC"/>
    <w:rsid w:val="00144CB3"/>
    <w:rsid w:val="00173FD2"/>
    <w:rsid w:val="002534A0"/>
    <w:rsid w:val="002E5116"/>
    <w:rsid w:val="004A3B47"/>
    <w:rsid w:val="0067746A"/>
    <w:rsid w:val="0088075E"/>
    <w:rsid w:val="0093677F"/>
    <w:rsid w:val="00A75C92"/>
    <w:rsid w:val="00E77DEE"/>
    <w:rsid w:val="00FD706E"/>
    <w:rsid w:val="00FE4E1B"/>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D2"/>
    <w:rPr>
      <w:color w:val="666666"/>
    </w:rPr>
  </w:style>
  <w:style w:type="paragraph" w:customStyle="1" w:styleId="576B6556CEEB43408B0F0F4E71BD48BC">
    <w:name w:val="576B6556CEEB43408B0F0F4E71BD48BC"/>
    <w:rsid w:val="00173FD2"/>
  </w:style>
  <w:style w:type="paragraph" w:customStyle="1" w:styleId="E7701AC4B1D1435CA52F549BB3B45A683">
    <w:name w:val="E7701AC4B1D1435CA52F549BB3B45A683"/>
    <w:rsid w:val="00173FD2"/>
    <w:pPr>
      <w:spacing w:after="200" w:line="276" w:lineRule="auto"/>
    </w:pPr>
    <w:rPr>
      <w:rFonts w:eastAsiaTheme="minorHAnsi"/>
      <w:kern w:val="0"/>
      <w:sz w:val="22"/>
      <w:szCs w:val="22"/>
      <w14:ligatures w14:val="none"/>
    </w:rPr>
  </w:style>
  <w:style w:type="paragraph" w:customStyle="1" w:styleId="5677A97AA0BB47B2BAC1C07F7C6BE7F21">
    <w:name w:val="5677A97AA0BB47B2BAC1C07F7C6BE7F21"/>
    <w:rsid w:val="00173FD2"/>
    <w:pPr>
      <w:spacing w:after="200" w:line="276" w:lineRule="auto"/>
    </w:pPr>
    <w:rPr>
      <w:rFonts w:eastAsiaTheme="minorHAnsi"/>
      <w:kern w:val="0"/>
      <w:sz w:val="22"/>
      <w:szCs w:val="22"/>
      <w14:ligatures w14:val="none"/>
    </w:rPr>
  </w:style>
  <w:style w:type="paragraph" w:customStyle="1" w:styleId="7FE49336A121491E83F53EE48B90BB621">
    <w:name w:val="7FE49336A121491E83F53EE48B90BB621"/>
    <w:rsid w:val="00173FD2"/>
    <w:pPr>
      <w:spacing w:after="200" w:line="276" w:lineRule="auto"/>
    </w:pPr>
    <w:rPr>
      <w:rFonts w:eastAsiaTheme="minorHAnsi"/>
      <w:kern w:val="0"/>
      <w:sz w:val="22"/>
      <w:szCs w:val="22"/>
      <w14:ligatures w14:val="none"/>
    </w:rPr>
  </w:style>
  <w:style w:type="paragraph" w:customStyle="1" w:styleId="D0C778B9B4054A0C96DD81C9BF1BA3831">
    <w:name w:val="D0C778B9B4054A0C96DD81C9BF1BA3831"/>
    <w:rsid w:val="00173FD2"/>
    <w:pPr>
      <w:spacing w:after="200" w:line="276" w:lineRule="auto"/>
    </w:pPr>
    <w:rPr>
      <w:rFonts w:eastAsiaTheme="minorHAnsi"/>
      <w:kern w:val="0"/>
      <w:sz w:val="22"/>
      <w:szCs w:val="22"/>
      <w14:ligatures w14:val="none"/>
    </w:rPr>
  </w:style>
  <w:style w:type="paragraph" w:customStyle="1" w:styleId="E48A606D38B74E8E94FE29DDFB57B3A91">
    <w:name w:val="E48A606D38B74E8E94FE29DDFB57B3A91"/>
    <w:rsid w:val="00173FD2"/>
    <w:pPr>
      <w:spacing w:after="200" w:line="276" w:lineRule="auto"/>
    </w:pPr>
    <w:rPr>
      <w:rFonts w:eastAsiaTheme="minorHAnsi"/>
      <w:kern w:val="0"/>
      <w:sz w:val="22"/>
      <w:szCs w:val="22"/>
      <w14:ligatures w14:val="none"/>
    </w:rPr>
  </w:style>
  <w:style w:type="paragraph" w:customStyle="1" w:styleId="A00A27A0EB484624A79369CD5A2D0A9E1">
    <w:name w:val="A00A27A0EB484624A79369CD5A2D0A9E1"/>
    <w:rsid w:val="00173FD2"/>
    <w:pPr>
      <w:spacing w:after="200" w:line="276" w:lineRule="auto"/>
    </w:pPr>
    <w:rPr>
      <w:rFonts w:eastAsiaTheme="minorHAnsi"/>
      <w:kern w:val="0"/>
      <w:sz w:val="22"/>
      <w:szCs w:val="22"/>
      <w14:ligatures w14:val="none"/>
    </w:rPr>
  </w:style>
  <w:style w:type="paragraph" w:customStyle="1" w:styleId="3CBC871ECF0A478589BF88CF307101861">
    <w:name w:val="3CBC871ECF0A478589BF88CF307101861"/>
    <w:rsid w:val="00173FD2"/>
    <w:pPr>
      <w:spacing w:after="200" w:line="276" w:lineRule="auto"/>
    </w:pPr>
    <w:rPr>
      <w:rFonts w:eastAsiaTheme="minorHAnsi"/>
      <w:kern w:val="0"/>
      <w:sz w:val="22"/>
      <w:szCs w:val="22"/>
      <w14:ligatures w14:val="none"/>
    </w:rPr>
  </w:style>
  <w:style w:type="paragraph" w:customStyle="1" w:styleId="214051E03E67420CAFE43CA182BBBE071">
    <w:name w:val="214051E03E67420CAFE43CA182BBBE071"/>
    <w:rsid w:val="00173FD2"/>
    <w:pPr>
      <w:spacing w:after="200" w:line="276" w:lineRule="auto"/>
    </w:pPr>
    <w:rPr>
      <w:rFonts w:eastAsiaTheme="minorHAnsi"/>
      <w:kern w:val="0"/>
      <w:sz w:val="22"/>
      <w:szCs w:val="22"/>
      <w14:ligatures w14:val="none"/>
    </w:rPr>
  </w:style>
  <w:style w:type="paragraph" w:customStyle="1" w:styleId="A83D35CCEAAE4E89974FCFB00BDA43F5">
    <w:name w:val="A83D35CCEAAE4E89974FCFB00BDA43F5"/>
    <w:rsid w:val="00173FD2"/>
    <w:pPr>
      <w:spacing w:after="200" w:line="276" w:lineRule="auto"/>
    </w:pPr>
    <w:rPr>
      <w:rFonts w:eastAsiaTheme="minorHAnsi"/>
      <w:kern w:val="0"/>
      <w:sz w:val="22"/>
      <w:szCs w:val="22"/>
      <w14:ligatures w14:val="none"/>
    </w:rPr>
  </w:style>
  <w:style w:type="paragraph" w:customStyle="1" w:styleId="A947C6DE1C6241C79675F7BCFB1206CE1">
    <w:name w:val="A947C6DE1C6241C79675F7BCFB1206CE1"/>
    <w:rsid w:val="00173FD2"/>
    <w:pPr>
      <w:spacing w:after="200" w:line="276" w:lineRule="auto"/>
    </w:pPr>
    <w:rPr>
      <w:rFonts w:eastAsiaTheme="minorHAnsi"/>
      <w:kern w:val="0"/>
      <w:sz w:val="22"/>
      <w:szCs w:val="22"/>
      <w14:ligatures w14:val="none"/>
    </w:rPr>
  </w:style>
  <w:style w:type="paragraph" w:customStyle="1" w:styleId="D47E721D97B44D48A4F344F1FE3FA6CA">
    <w:name w:val="D47E721D97B44D48A4F344F1FE3FA6CA"/>
    <w:rsid w:val="00173FD2"/>
    <w:pPr>
      <w:spacing w:after="200" w:line="276" w:lineRule="auto"/>
    </w:pPr>
    <w:rPr>
      <w:rFonts w:eastAsiaTheme="minorHAnsi"/>
      <w:kern w:val="0"/>
      <w:sz w:val="22"/>
      <w:szCs w:val="22"/>
      <w14:ligatures w14:val="none"/>
    </w:rPr>
  </w:style>
  <w:style w:type="paragraph" w:customStyle="1" w:styleId="BB69FBC714694F3F8170E44AD1B64BD1">
    <w:name w:val="BB69FBC714694F3F8170E44AD1B64BD1"/>
    <w:rsid w:val="00173FD2"/>
    <w:pPr>
      <w:spacing w:after="200" w:line="276" w:lineRule="auto"/>
    </w:pPr>
    <w:rPr>
      <w:rFonts w:eastAsiaTheme="minorHAnsi"/>
      <w:kern w:val="0"/>
      <w:sz w:val="22"/>
      <w:szCs w:val="22"/>
      <w14:ligatures w14:val="none"/>
    </w:rPr>
  </w:style>
  <w:style w:type="paragraph" w:customStyle="1" w:styleId="89217B1106F6423191F07CEF8F458898">
    <w:name w:val="89217B1106F6423191F07CEF8F458898"/>
    <w:rsid w:val="00173FD2"/>
    <w:pPr>
      <w:spacing w:after="200" w:line="276" w:lineRule="auto"/>
    </w:pPr>
    <w:rPr>
      <w:rFonts w:eastAsiaTheme="minorHAnsi"/>
      <w:kern w:val="0"/>
      <w:sz w:val="22"/>
      <w:szCs w:val="22"/>
      <w14:ligatures w14:val="none"/>
    </w:rPr>
  </w:style>
  <w:style w:type="paragraph" w:customStyle="1" w:styleId="0EC176984E7D4CAF960A0C28AA3E7E4B">
    <w:name w:val="0EC176984E7D4CAF960A0C28AA3E7E4B"/>
    <w:rsid w:val="00173FD2"/>
    <w:pPr>
      <w:spacing w:after="200" w:line="276" w:lineRule="auto"/>
    </w:pPr>
    <w:rPr>
      <w:rFonts w:eastAsiaTheme="minorHAnsi"/>
      <w:kern w:val="0"/>
      <w:sz w:val="22"/>
      <w:szCs w:val="22"/>
      <w14:ligatures w14:val="none"/>
    </w:rPr>
  </w:style>
  <w:style w:type="paragraph" w:customStyle="1" w:styleId="1D2064BB7BA040FD97829C5AE5F1AB97">
    <w:name w:val="1D2064BB7BA040FD97829C5AE5F1AB97"/>
    <w:rsid w:val="00173FD2"/>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9EC6-FD6C-46DE-83A4-48C72912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Pages>
  <Words>724</Words>
  <Characters>4132</Characters>
  <Application>Microsoft Office Word</Application>
  <DocSecurity>0</DocSecurity>
  <Lines>34</Lines>
  <Paragraphs>9</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Rakcevic</dc:creator>
  <cp:lastModifiedBy>Boburjon KH. Khushvaktov</cp:lastModifiedBy>
  <cp:revision>586</cp:revision>
  <cp:lastPrinted>2024-05-17T11:00:00Z</cp:lastPrinted>
  <dcterms:created xsi:type="dcterms:W3CDTF">2024-04-16T11:50:00Z</dcterms:created>
  <dcterms:modified xsi:type="dcterms:W3CDTF">2025-03-18T05:54:00Z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8ad49a3f291e05ba794552362c29be2796e9cbb1e2075b2ef2d828511ec13f70</vt:lpwstr>
  </property>
</Properties>
</file>