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56312" w14:textId="6CBA3FAA" w:rsidR="005E0570" w:rsidRDefault="006E24D8" w:rsidP="005E0570">
      <w:pPr>
        <w:pStyle w:val="CONFIDENTIAL"/>
        <w:spacing w:before="0" w:line="276" w:lineRule="auto"/>
        <w:ind w:right="0"/>
        <w:jc w:val="left"/>
        <w:rPr>
          <w:rFonts w:asciiTheme="minorHAnsi" w:hAnsiTheme="minorHAnsi" w:cstheme="minorHAnsi"/>
          <w:i w:val="0"/>
          <w:sz w:val="22"/>
          <w:szCs w:val="22"/>
          <w:lang w:val="en-US"/>
        </w:rPr>
      </w:pPr>
      <w:r>
        <w:rPr>
          <w:rFonts w:asciiTheme="minorHAnsi" w:hAnsiTheme="minorHAnsi" w:cstheme="minorHAnsi"/>
          <w:i w:val="0"/>
          <w:noProof/>
          <w:sz w:val="22"/>
          <w:szCs w:val="22"/>
          <w:lang w:val="en-US"/>
        </w:rPr>
        <w:drawing>
          <wp:inline distT="0" distB="0" distL="0" distR="0" wp14:anchorId="402952FF" wp14:editId="02A3D55E">
            <wp:extent cx="2298700" cy="1834467"/>
            <wp:effectExtent l="0" t="0" r="635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pic:cNvPicPr/>
                  </pic:nvPicPr>
                  <pic:blipFill>
                    <a:blip r:embed="rId8">
                      <a:extLst>
                        <a:ext uri="{28A0092B-C50C-407E-A947-70E740481C1C}">
                          <a14:useLocalDpi xmlns:a14="http://schemas.microsoft.com/office/drawing/2010/main" val="0"/>
                        </a:ext>
                      </a:extLst>
                    </a:blip>
                    <a:stretch>
                      <a:fillRect/>
                    </a:stretch>
                  </pic:blipFill>
                  <pic:spPr>
                    <a:xfrm>
                      <a:off x="0" y="0"/>
                      <a:ext cx="2332767" cy="1861654"/>
                    </a:xfrm>
                    <a:prstGeom prst="rect">
                      <a:avLst/>
                    </a:prstGeom>
                  </pic:spPr>
                </pic:pic>
              </a:graphicData>
            </a:graphic>
          </wp:inline>
        </w:drawing>
      </w:r>
    </w:p>
    <w:p w14:paraId="26664E68" w14:textId="5F3F4C78" w:rsidR="005E0570" w:rsidRDefault="005E0570" w:rsidP="005E0570">
      <w:pPr>
        <w:pStyle w:val="CONFIDENTIAL"/>
        <w:spacing w:before="0" w:line="276" w:lineRule="auto"/>
        <w:ind w:right="0"/>
        <w:jc w:val="left"/>
        <w:rPr>
          <w:rFonts w:asciiTheme="minorHAnsi" w:hAnsiTheme="minorHAnsi" w:cstheme="minorHAnsi"/>
          <w:i w:val="0"/>
          <w:sz w:val="22"/>
          <w:szCs w:val="22"/>
          <w:lang w:val="en-US"/>
        </w:rPr>
      </w:pPr>
    </w:p>
    <w:p w14:paraId="3DDAAD58" w14:textId="77777777" w:rsidR="005E0570" w:rsidRDefault="005E0570" w:rsidP="005E0570">
      <w:pPr>
        <w:pStyle w:val="CONFIDENTIAL"/>
        <w:spacing w:before="0" w:line="276" w:lineRule="auto"/>
        <w:ind w:right="0"/>
        <w:jc w:val="left"/>
        <w:rPr>
          <w:rFonts w:asciiTheme="minorHAnsi" w:hAnsiTheme="minorHAnsi" w:cstheme="minorHAnsi"/>
          <w:i w:val="0"/>
          <w:sz w:val="22"/>
          <w:szCs w:val="22"/>
          <w:lang w:val="en-US"/>
        </w:rPr>
      </w:pPr>
    </w:p>
    <w:p w14:paraId="1F4ECE03" w14:textId="054C5E45" w:rsidR="005E0570" w:rsidRPr="007F1334" w:rsidRDefault="005E0570" w:rsidP="005E0570">
      <w:pPr>
        <w:pStyle w:val="CONFIDENTIAL"/>
        <w:spacing w:before="0" w:line="276" w:lineRule="auto"/>
        <w:ind w:right="0"/>
        <w:jc w:val="left"/>
        <w:rPr>
          <w:rFonts w:asciiTheme="minorHAnsi" w:hAnsiTheme="minorHAnsi" w:cstheme="minorHAnsi"/>
          <w:i w:val="0"/>
          <w:sz w:val="20"/>
          <w:lang w:val="en-US"/>
        </w:rPr>
      </w:pPr>
      <w:r w:rsidRPr="007F1334">
        <w:rPr>
          <w:rFonts w:asciiTheme="minorHAnsi" w:hAnsiTheme="minorHAnsi" w:cstheme="minorHAnsi"/>
          <w:i w:val="0"/>
          <w:sz w:val="20"/>
          <w:lang w:val="en-US"/>
        </w:rPr>
        <w:t>Yunusobod filiali</w:t>
      </w:r>
      <w:r w:rsidR="003A63AE">
        <w:rPr>
          <w:rFonts w:asciiTheme="minorHAnsi" w:hAnsiTheme="minorHAnsi" w:cstheme="minorHAnsi"/>
          <w:i w:val="0"/>
          <w:sz w:val="20"/>
          <w:lang w:val="en-US"/>
        </w:rPr>
      </w:r>
      <w:r w:rsidRPr="007F1334">
        <w:rPr>
          <w:rFonts w:asciiTheme="minorHAnsi" w:hAnsiTheme="minorHAnsi" w:cstheme="minorHAnsi"/>
          <w:i w:val="0"/>
          <w:sz w:val="20"/>
          <w:lang w:val="en-US"/>
        </w:rPr>
      </w:r>
    </w:p>
    <w:p w14:paraId="2D420AF4" w14:textId="592740EC" w:rsidR="00D45F8D" w:rsidRPr="007F1334" w:rsidRDefault="003A63AE" w:rsidP="00D45F8D">
      <w:pPr>
        <w:pStyle w:val="CONFIDENTIAL"/>
        <w:spacing w:before="0" w:line="276" w:lineRule="auto"/>
        <w:ind w:right="0"/>
        <w:jc w:val="left"/>
        <w:rPr>
          <w:rFonts w:asciiTheme="minorHAnsi" w:hAnsiTheme="minorHAnsi" w:cstheme="minorHAnsi"/>
          <w:b w:val="0"/>
          <w:i w:val="0"/>
          <w:sz w:val="20"/>
          <w:lang w:val="en-US"/>
        </w:rPr>
      </w:pPr>
      <w:r>
        <w:rPr>
          <w:rFonts w:asciiTheme="minorHAnsi" w:hAnsiTheme="minorHAnsi" w:cstheme="minorHAnsi"/>
          <w:i w:val="0"/>
          <w:sz w:val="20"/>
        </w:rPr>
        <w:t>—</w:t>
      </w:r>
      <w:r w:rsidR="00D45F8D" w:rsidRPr="007F1334">
        <w:rPr>
          <w:rFonts w:asciiTheme="minorHAnsi" w:hAnsiTheme="minorHAnsi" w:cstheme="minorHAnsi"/>
          <w:b w:val="0"/>
          <w:i w:val="0"/>
          <w:sz w:val="20"/>
          <w:lang w:val="en-US"/>
        </w:rPr>
      </w:r>
    </w:p>
    <w:p w14:paraId="59AAFF84" w14:textId="60157ABA" w:rsidR="005E0570" w:rsidRPr="007F1334" w:rsidRDefault="005E0570" w:rsidP="005E0570">
      <w:pPr>
        <w:pStyle w:val="CONFIDENTIAL"/>
        <w:spacing w:before="0" w:line="276" w:lineRule="auto"/>
        <w:ind w:right="0"/>
        <w:jc w:val="left"/>
        <w:rPr>
          <w:rFonts w:asciiTheme="minorHAnsi" w:hAnsiTheme="minorHAnsi" w:cstheme="minorHAnsi"/>
          <w:b w:val="0"/>
          <w:i w:val="0"/>
          <w:sz w:val="20"/>
          <w:lang w:val="en-US"/>
        </w:rPr>
      </w:pPr>
      <w:r w:rsidRPr="007F1334">
        <w:rPr>
          <w:rFonts w:asciiTheme="minorHAnsi" w:hAnsiTheme="minorHAnsi" w:cstheme="minorHAnsi"/>
          <w:b w:val="0"/>
          <w:i w:val="0"/>
          <w:sz w:val="20"/>
          <w:lang w:val="en-US"/>
        </w:rPr>
        <w:t>Approved for submission to the kredit limiti qo‘mitasi:</w:t>
      </w:r>
    </w:p>
    <w:p w14:paraId="101952BB" w14:textId="77777777" w:rsidR="005E0570" w:rsidRPr="007F1334" w:rsidRDefault="005E0570" w:rsidP="005E0570">
      <w:pPr>
        <w:pStyle w:val="CONFIDENTIAL"/>
        <w:spacing w:before="0" w:line="276" w:lineRule="auto"/>
        <w:ind w:right="0"/>
        <w:jc w:val="left"/>
        <w:rPr>
          <w:rFonts w:asciiTheme="minorHAnsi" w:hAnsiTheme="minorHAnsi" w:cstheme="minorHAnsi"/>
          <w:b w:val="0"/>
          <w:i w:val="0"/>
          <w:sz w:val="20"/>
          <w:lang w:val="en-US"/>
        </w:rPr>
      </w:pPr>
    </w:p>
    <w:p w14:paraId="3687995D" w14:textId="331208DD" w:rsidR="005E0570" w:rsidRPr="007F1334" w:rsidRDefault="003A63AE" w:rsidP="005E0570">
      <w:pPr>
        <w:pStyle w:val="CONFIDENTIAL"/>
        <w:spacing w:before="0" w:line="276" w:lineRule="auto"/>
        <w:ind w:right="0"/>
        <w:jc w:val="left"/>
        <w:rPr>
          <w:rFonts w:asciiTheme="minorHAnsi" w:hAnsiTheme="minorHAnsi" w:cstheme="minorHAnsi"/>
          <w:b w:val="0"/>
          <w:i w:val="0"/>
          <w:sz w:val="20"/>
          <w:lang w:val="en-US"/>
        </w:rPr>
      </w:pPr>
      <w:r w:rsidRPr="003A63AE">
        <w:rPr>
          <w:rFonts w:asciiTheme="minorHAnsi" w:hAnsiTheme="minorHAnsi" w:cstheme="minorHAnsi"/>
          <w:b w:val="0"/>
          <w:i w:val="0"/>
          <w:sz w:val="20"/>
          <w:lang w:val="en-US"/>
        </w:rPr>
        <w:t>Badalov Dilshod Hikmatullaevich</w:t>
      </w:r>
    </w:p>
    <w:p w14:paraId="0B135EED" w14:textId="55EAD136" w:rsidR="005E0570" w:rsidRPr="007F1334" w:rsidRDefault="003A63AE" w:rsidP="005E0570">
      <w:pPr>
        <w:pStyle w:val="CONFIDENTIAL"/>
        <w:spacing w:before="0" w:line="276" w:lineRule="auto"/>
        <w:ind w:right="0"/>
        <w:jc w:val="left"/>
        <w:rPr>
          <w:rFonts w:asciiTheme="minorHAnsi" w:hAnsiTheme="minorHAnsi" w:cstheme="minorHAnsi"/>
          <w:sz w:val="20"/>
          <w:lang w:val="en-US"/>
        </w:rPr>
      </w:pPr>
      <w:r>
        <w:rPr>
          <w:rFonts w:asciiTheme="minorHAnsi" w:hAnsiTheme="minorHAnsi" w:cstheme="minorHAnsi"/>
          <w:b w:val="0"/>
          <w:i w:val="0"/>
          <w:sz w:val="20"/>
          <w:lang w:val="en-US"/>
        </w:rPr>
        <w:t>Direktor</w:t>
      </w:r>
      <w:r w:rsidR="005E0570" w:rsidRPr="007F1334">
        <w:rPr>
          <w:rFonts w:asciiTheme="minorHAnsi" w:hAnsiTheme="minorHAnsi" w:cstheme="minorHAnsi"/>
          <w:sz w:val="20"/>
          <w:lang w:val="en-US"/>
        </w:rPr>
      </w:r>
    </w:p>
    <w:p w14:paraId="475FA010" w14:textId="77777777" w:rsidR="005E0570" w:rsidRPr="00E96C69" w:rsidRDefault="005E0570" w:rsidP="005E0570">
      <w:pPr>
        <w:pStyle w:val="CONFIDENTIAL"/>
        <w:spacing w:before="0" w:line="276" w:lineRule="auto"/>
        <w:ind w:right="0"/>
        <w:jc w:val="left"/>
        <w:rPr>
          <w:rFonts w:asciiTheme="minorHAnsi" w:hAnsiTheme="minorHAnsi" w:cstheme="minorHAnsi"/>
          <w:sz w:val="22"/>
          <w:szCs w:val="22"/>
          <w:lang w:val="en-US"/>
        </w:rPr>
      </w:pPr>
    </w:p>
    <w:p w14:paraId="3A8C558A" w14:textId="77777777" w:rsidR="005E0570" w:rsidRDefault="005E0570">
      <w:r>
        <w:rPr>
          <w:rFonts w:cstheme="minorHAnsi"/>
          <w:i/>
          <w:noProof/>
          <w:lang w:val="sr-Latn-ME" w:eastAsia="sr-Latn-ME"/>
        </w:rPr>
        <mc:AlternateContent>
          <mc:Choice Requires="wps">
            <w:drawing>
              <wp:anchor distT="0" distB="0" distL="114300" distR="114300" simplePos="0" relativeHeight="251659264" behindDoc="0" locked="0" layoutInCell="1" allowOverlap="1" wp14:anchorId="08C9E51A" wp14:editId="12B6274D">
                <wp:simplePos x="0" y="0"/>
                <wp:positionH relativeFrom="column">
                  <wp:posOffset>-49005</wp:posOffset>
                </wp:positionH>
                <wp:positionV relativeFrom="paragraph">
                  <wp:posOffset>95830</wp:posOffset>
                </wp:positionV>
                <wp:extent cx="6252845" cy="817245"/>
                <wp:effectExtent l="0" t="0" r="1460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845" cy="817245"/>
                        </a:xfrm>
                        <a:prstGeom prst="rect">
                          <a:avLst/>
                        </a:prstGeom>
                        <a:solidFill>
                          <a:srgbClr val="92D050"/>
                        </a:solidFill>
                        <a:ln w="9525">
                          <a:solidFill>
                            <a:srgbClr val="92D050"/>
                          </a:solidFill>
                          <a:miter lim="800000"/>
                          <a:headEnd/>
                          <a:tailEnd/>
                        </a:ln>
                      </wps:spPr>
                      <wps:txbx>
                        <w:txbxContent>
                          <w:p w14:paraId="483D8456" w14:textId="26C158C1" w:rsidR="006A6901" w:rsidRDefault="006A6901" w:rsidP="005E0570">
                            <w:pPr>
                              <w:pStyle w:val="CONFIDENTIAL"/>
                              <w:spacing w:before="0" w:line="276" w:lineRule="auto"/>
                              <w:ind w:right="0"/>
                              <w:jc w:val="center"/>
                              <w:rPr>
                                <w:rFonts w:ascii="Calibri" w:hAnsi="Calibri"/>
                                <w:i w:val="0"/>
                                <w:iCs/>
                                <w:szCs w:val="28"/>
                                <w:lang w:val="sr-Latn-RS"/>
                              </w:rPr>
                            </w:pPr>
                            <w:r>
                              <w:rPr>
                                <w:rFonts w:ascii="Calibri" w:hAnsi="Calibri"/>
                                <w:i w:val="0"/>
                                <w:iCs/>
                                <w:szCs w:val="28"/>
                                <w:lang w:val="sr-Latn-RS"/>
                              </w:rPr>
                              <w:t xml:space="preserve">Risk </w:t>
                            </w:r>
                            <w:r w:rsidR="003F5EC9">
                              <w:rPr>
                                <w:rFonts w:ascii="Calibri" w:hAnsi="Calibri"/>
                                <w:i w:val="0"/>
                                <w:iCs/>
                                <w:szCs w:val="28"/>
                                <w:lang w:val="sr-Latn-RS"/>
                              </w:rPr>
                              <w:t xml:space="preserve">Assessment </w:t>
                            </w:r>
                            <w:r>
                              <w:rPr>
                                <w:rFonts w:ascii="Calibri" w:hAnsi="Calibri"/>
                                <w:i w:val="0"/>
                                <w:iCs/>
                                <w:szCs w:val="28"/>
                                <w:lang w:val="sr-Latn-RS"/>
                              </w:rPr>
                              <w:t>Opinion</w:t>
                            </w:r>
                            <w:r w:rsidRPr="00295F17">
                              <w:rPr>
                                <w:rFonts w:ascii="Calibri" w:hAnsi="Calibri"/>
                                <w:i w:val="0"/>
                                <w:iCs/>
                                <w:szCs w:val="28"/>
                                <w:lang w:val="sr-Latn-RS"/>
                              </w:rPr>
                              <w:t xml:space="preserve"> for the </w:t>
                            </w:r>
                            <w:r>
                              <w:rPr>
                                <w:rFonts w:ascii="Calibri" w:hAnsi="Calibri"/>
                                <w:i w:val="0"/>
                                <w:iCs/>
                                <w:szCs w:val="28"/>
                                <w:lang w:val="sr-Latn-RS"/>
                              </w:rPr>
                              <w:t xml:space="preserve">Credit </w:t>
                            </w:r>
                            <w:r w:rsidRPr="00295F17">
                              <w:rPr>
                                <w:rFonts w:ascii="Calibri" w:hAnsi="Calibri"/>
                                <w:i w:val="0"/>
                                <w:iCs/>
                                <w:szCs w:val="28"/>
                                <w:lang w:val="sr-Latn-RS"/>
                              </w:rPr>
                              <w:t>Committee</w:t>
                            </w:r>
                          </w:p>
                          <w:p w14:paraId="7B0ABB6B" w14:textId="77777777" w:rsidR="006A6901" w:rsidRPr="00295F17" w:rsidRDefault="006A6901" w:rsidP="005E0570">
                            <w:pPr>
                              <w:pStyle w:val="CONFIDENTIAL"/>
                              <w:spacing w:before="0" w:line="276" w:lineRule="auto"/>
                              <w:ind w:right="0"/>
                              <w:jc w:val="center"/>
                              <w:rPr>
                                <w:rFonts w:ascii="Calibri" w:hAnsi="Calibri"/>
                                <w:i w:val="0"/>
                                <w:szCs w:val="28"/>
                                <w:lang w:val="hu-HU"/>
                              </w:rPr>
                            </w:pPr>
                          </w:p>
                          <w:p w14:paraId="65C4F274" w14:textId="586427B3" w:rsidR="006A6901" w:rsidRPr="006E24D8" w:rsidRDefault="006A6901" w:rsidP="00790DFE">
                            <w:pPr>
                              <w:tabs>
                                <w:tab w:val="right" w:pos="9360"/>
                              </w:tabs>
                              <w:spacing w:after="0"/>
                              <w:jc w:val="center"/>
                              <w:rPr>
                                <w:rFonts w:cstheme="minorHAnsi"/>
                                <w:b/>
                                <w:i/>
                                <w:sz w:val="24"/>
                                <w:szCs w:val="24"/>
                              </w:rPr>
                            </w:pPr>
                            <w:r w:rsidRPr="006E24D8">
                              <w:rPr>
                                <w:rFonts w:cstheme="minorHAnsi"/>
                                <w:b/>
                                <w:i/>
                                <w:sz w:val="24"/>
                                <w:szCs w:val="24"/>
                              </w:rPr>
                              <w:t>(Name of the company</w:t>
                            </w:r>
                            <w:r w:rsidR="00F96C26">
                              <w:rPr>
                                <w:rFonts w:cstheme="minorHAnsi"/>
                                <w:b/>
                                <w:i/>
                                <w:sz w:val="24"/>
                                <w:szCs w:val="24"/>
                              </w:rPr>
                              <w:t>/ Client group</w:t>
                            </w:r>
                            <w:r w:rsidRPr="006E24D8">
                              <w:rPr>
                                <w:rFonts w:cstheme="minorHAnsi"/>
                                <w:b/>
                                <w:i/>
                                <w:sz w:val="24"/>
                                <w:szCs w:val="24"/>
                              </w:rPr>
                              <w:t>)</w:t>
                            </w:r>
                          </w:p>
                          <w:p w14:paraId="4F962C46" w14:textId="77777777" w:rsidR="006A6901" w:rsidRPr="006E24D8" w:rsidRDefault="006A6901" w:rsidP="00790DFE">
                            <w:pPr>
                              <w:pStyle w:val="Subtitle"/>
                              <w:ind w:left="0"/>
                              <w:rPr>
                                <w:rFonts w:asciiTheme="minorHAnsi" w:hAnsiTheme="minorHAnsi" w:cstheme="minorHAnsi"/>
                                <w:i/>
                                <w:sz w:val="24"/>
                                <w:szCs w:val="24"/>
                              </w:rPr>
                            </w:pPr>
                            <w:r w:rsidRPr="006E24D8">
                              <w:rPr>
                                <w:rFonts w:asciiTheme="minorHAnsi" w:hAnsiTheme="minorHAnsi" w:cstheme="minorHAnsi"/>
                                <w:i/>
                                <w:sz w:val="24"/>
                                <w:szCs w:val="24"/>
                                <w:lang w:val="sr-Latn-CS"/>
                              </w:rPr>
                              <w:t>(precise subject of the proposal)</w:t>
                            </w:r>
                          </w:p>
                          <w:p w14:paraId="4F2D54FE" w14:textId="77777777" w:rsidR="006A6901" w:rsidRPr="00295F17" w:rsidRDefault="006A6901" w:rsidP="00E439EC">
                            <w:pPr>
                              <w:pStyle w:val="Subtitle"/>
                              <w:ind w:left="0"/>
                              <w:rPr>
                                <w:rFonts w:asciiTheme="minorHAnsi" w:hAnsiTheme="minorHAnsi" w:cstheme="minorHAnsi"/>
                                <w:b w:val="0"/>
                                <w:i/>
                                <w:sz w:val="28"/>
                                <w:szCs w:val="28"/>
                                <w:lang w:val="en-GB"/>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C9E51A" id="_x0000_t202" coordsize="21600,21600" o:spt="202" path="m,l,21600r21600,l21600,xe">
                <v:stroke joinstyle="miter"/>
                <v:path gradientshapeok="t" o:connecttype="rect"/>
              </v:shapetype>
              <v:shape id="Text Box 3" o:spid="_x0000_s1026" type="#_x0000_t202" style="position:absolute;margin-left:-3.85pt;margin-top:7.55pt;width:492.35pt;height:64.3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" fillcolor="#92d050" strokecolor="#92d050">
                <v:textbox style="mso-fit-shape-to-text:t">
                  <w:txbxContent>
                    <w:p w14:paraId="483D8456" w14:textId="26C158C1" w:rsidR="006A6901" w:rsidRDefault="006A6901" w:rsidP="005E0570">
                      <w:pPr>
                        <w:pStyle w:val="CONFIDENTIAL"/>
                        <w:spacing w:before="0" w:line="276" w:lineRule="auto"/>
                        <w:ind w:right="0"/>
                        <w:jc w:val="center"/>
                        <w:rPr>
                          <w:rFonts w:ascii="Calibri" w:hAnsi="Calibri"/>
                          <w:i w:val="0"/>
                          <w:iCs/>
                          <w:szCs w:val="28"/>
                          <w:lang w:val="sr-Latn-RS"/>
                        </w:rPr>
                      </w:pPr>
                      <w:r>
                        <w:rPr>
                          <w:rFonts w:ascii="Calibri" w:hAnsi="Calibri"/>
                          <w:i w:val="0"/>
                          <w:iCs/>
                          <w:szCs w:val="28"/>
                          <w:lang w:val="sr-Latn-RS"/>
                        </w:rPr>
                        <w:t xml:space="preserve">Risk </w:t>
                      </w:r>
                      <w:r w:rsidR="003F5EC9">
                        <w:rPr>
                          <w:rFonts w:ascii="Calibri" w:hAnsi="Calibri"/>
                          <w:i w:val="0"/>
                          <w:iCs/>
                          <w:szCs w:val="28"/>
                          <w:lang w:val="sr-Latn-RS"/>
                        </w:rPr>
                        <w:t xml:space="preserve">Assessment </w:t>
                      </w:r>
                      <w:r>
                        <w:rPr>
                          <w:rFonts w:ascii="Calibri" w:hAnsi="Calibri"/>
                          <w:i w:val="0"/>
                          <w:iCs/>
                          <w:szCs w:val="28"/>
                          <w:lang w:val="sr-Latn-RS"/>
                        </w:rPr>
                        <w:t>Opinion</w:t>
                      </w:r>
                      <w:r w:rsidRPr="00295F17">
                        <w:rPr>
                          <w:rFonts w:ascii="Calibri" w:hAnsi="Calibri"/>
                          <w:i w:val="0"/>
                          <w:iCs/>
                          <w:szCs w:val="28"/>
                          <w:lang w:val="sr-Latn-RS"/>
                        </w:rPr>
                        <w:t xml:space="preserve"> for the </w:t>
                      </w:r>
                      <w:r>
                        <w:rPr>
                          <w:rFonts w:ascii="Calibri" w:hAnsi="Calibri"/>
                          <w:i w:val="0"/>
                          <w:iCs/>
                          <w:szCs w:val="28"/>
                          <w:lang w:val="sr-Latn-RS"/>
                        </w:rPr>
                        <w:t xml:space="preserve">Credit </w:t>
                      </w:r>
                      <w:r w:rsidRPr="00295F17">
                        <w:rPr>
                          <w:rFonts w:ascii="Calibri" w:hAnsi="Calibri"/>
                          <w:i w:val="0"/>
                          <w:iCs/>
                          <w:szCs w:val="28"/>
                          <w:lang w:val="sr-Latn-RS"/>
                        </w:rPr>
                        <w:t>Committee</w:t>
                      </w:r>
                    </w:p>
                    <w:p w14:paraId="7B0ABB6B" w14:textId="77777777" w:rsidR="006A6901" w:rsidRPr="00295F17" w:rsidRDefault="006A6901" w:rsidP="005E0570">
                      <w:pPr>
                        <w:pStyle w:val="CONFIDENTIAL"/>
                        <w:spacing w:before="0" w:line="276" w:lineRule="auto"/>
                        <w:ind w:right="0"/>
                        <w:jc w:val="center"/>
                        <w:rPr>
                          <w:rFonts w:ascii="Calibri" w:hAnsi="Calibri"/>
                          <w:i w:val="0"/>
                          <w:szCs w:val="28"/>
                          <w:lang w:val="hu-HU"/>
                        </w:rPr>
                      </w:pPr>
                    </w:p>
                    <w:p w14:paraId="65C4F274" w14:textId="586427B3" w:rsidR="006A6901" w:rsidRPr="006E24D8" w:rsidRDefault="006A6901" w:rsidP="00790DFE">
                      <w:pPr>
                        <w:tabs>
                          <w:tab w:val="right" w:pos="9360"/>
                        </w:tabs>
                        <w:spacing w:after="0"/>
                        <w:jc w:val="center"/>
                        <w:rPr>
                          <w:rFonts w:cstheme="minorHAnsi"/>
                          <w:b/>
                          <w:i/>
                          <w:sz w:val="24"/>
                          <w:szCs w:val="24"/>
                        </w:rPr>
                      </w:pPr>
                      <w:r w:rsidRPr="006E24D8">
                        <w:rPr>
                          <w:rFonts w:cstheme="minorHAnsi"/>
                          <w:b/>
                          <w:i/>
                          <w:sz w:val="24"/>
                          <w:szCs w:val="24"/>
                        </w:rPr>
                        <w:t>(Name of the company</w:t>
                      </w:r>
                      <w:r w:rsidR="00F96C26">
                        <w:rPr>
                          <w:rFonts w:cstheme="minorHAnsi"/>
                          <w:b/>
                          <w:i/>
                          <w:sz w:val="24"/>
                          <w:szCs w:val="24"/>
                        </w:rPr>
                        <w:t>/ Client group</w:t>
                      </w:r>
                      <w:r w:rsidRPr="006E24D8">
                        <w:rPr>
                          <w:rFonts w:cstheme="minorHAnsi"/>
                          <w:b/>
                          <w:i/>
                          <w:sz w:val="24"/>
                          <w:szCs w:val="24"/>
                        </w:rPr>
                        <w:t>)</w:t>
                      </w:r>
                    </w:p>
                    <w:p w14:paraId="4F962C46" w14:textId="77777777" w:rsidR="006A6901" w:rsidRPr="006E24D8" w:rsidRDefault="006A6901" w:rsidP="00790DFE">
                      <w:pPr>
                        <w:pStyle w:val="Subtitle"/>
                        <w:ind w:left="0"/>
                        <w:rPr>
                          <w:rFonts w:asciiTheme="minorHAnsi" w:hAnsiTheme="minorHAnsi" w:cstheme="minorHAnsi"/>
                          <w:i/>
                          <w:sz w:val="24"/>
                          <w:szCs w:val="24"/>
                        </w:rPr>
                      </w:pPr>
                      <w:r w:rsidRPr="006E24D8">
                        <w:rPr>
                          <w:rFonts w:asciiTheme="minorHAnsi" w:hAnsiTheme="minorHAnsi" w:cstheme="minorHAnsi"/>
                          <w:i/>
                          <w:sz w:val="24"/>
                          <w:szCs w:val="24"/>
                          <w:lang w:val="sr-Latn-CS"/>
                        </w:rPr>
                        <w:t>(precise subject of the proposal)</w:t>
                      </w:r>
                    </w:p>
                    <w:p w14:paraId="4F2D54FE" w14:textId="77777777" w:rsidR="006A6901" w:rsidRPr="00295F17" w:rsidRDefault="006A6901" w:rsidP="00E439EC">
                      <w:pPr>
                        <w:pStyle w:val="Subtitle"/>
                        <w:ind w:left="0"/>
                        <w:rPr>
                          <w:rFonts w:asciiTheme="minorHAnsi" w:hAnsiTheme="minorHAnsi" w:cstheme="minorHAnsi"/>
                          <w:b w:val="0"/>
                          <w:i/>
                          <w:sz w:val="28"/>
                          <w:szCs w:val="28"/>
                          <w:lang w:val="en-GB"/>
                        </w:rPr>
                      </w:pPr>
                    </w:p>
                  </w:txbxContent>
                </v:textbox>
              </v:shape>
            </w:pict>
          </mc:Fallback>
        </mc:AlternateContent>
      </w:r>
    </w:p>
    <w:p w14:paraId="34BA5844" w14:textId="77777777" w:rsidR="005E0570" w:rsidRPr="005E0570" w:rsidRDefault="005E0570" w:rsidP="005E0570"/>
    <w:p w14:paraId="6BD8E6F7" w14:textId="77777777" w:rsidR="005E0570" w:rsidRPr="005E0570" w:rsidRDefault="005E0570" w:rsidP="005E0570"/>
    <w:p w14:paraId="7B218FC2" w14:textId="77777777" w:rsidR="005E0570" w:rsidRPr="005E0570" w:rsidRDefault="005E0570" w:rsidP="005E0570"/>
    <w:p w14:paraId="5194F365" w14:textId="77777777" w:rsidR="005E0570" w:rsidRPr="005E0570" w:rsidRDefault="005E0570" w:rsidP="005E0570"/>
    <w:p w14:paraId="5A4A5583" w14:textId="77777777" w:rsidR="005E0570" w:rsidRPr="005E0570" w:rsidRDefault="005E0570" w:rsidP="005E0570"/>
    <w:p w14:paraId="70BF6B0A" w14:textId="77777777" w:rsidR="005E0570" w:rsidRPr="005E0570" w:rsidRDefault="005E0570" w:rsidP="005E0570"/>
    <w:p w14:paraId="7A7A4069" w14:textId="77777777" w:rsidR="005E0570" w:rsidRPr="005E0570" w:rsidRDefault="005E0570" w:rsidP="005E0570"/>
    <w:p w14:paraId="63EDF13B" w14:textId="77777777" w:rsidR="005E0570" w:rsidRPr="00424480" w:rsidRDefault="005E0570" w:rsidP="005E0570">
      <w:pPr>
        <w:pStyle w:val="Cover"/>
        <w:spacing w:line="276" w:lineRule="auto"/>
        <w:rPr>
          <w:rFonts w:asciiTheme="minorHAnsi" w:hAnsiTheme="minorHAnsi" w:cstheme="minorHAnsi"/>
          <w:sz w:val="20"/>
          <w:lang w:val="en-US"/>
        </w:rPr>
      </w:pPr>
    </w:p>
    <w:p w14:paraId="45B290AA" w14:textId="449AD4E9" w:rsidR="00CD45BB" w:rsidRPr="00942B20" w:rsidRDefault="00CD45BB" w:rsidP="00CD45BB">
      <w:pPr>
        <w:pStyle w:val="Cover"/>
        <w:spacing w:line="276" w:lineRule="auto"/>
        <w:rPr>
          <w:rFonts w:asciiTheme="minorHAnsi" w:hAnsiTheme="minorHAnsi" w:cstheme="minorHAnsi"/>
          <w:b w:val="0"/>
          <w:sz w:val="20"/>
          <w:lang w:val="en-US"/>
        </w:rPr>
      </w:pPr>
      <w:r w:rsidRPr="00942B20">
        <w:rPr>
          <w:rFonts w:asciiTheme="minorHAnsi" w:hAnsiTheme="minorHAnsi" w:cstheme="minorHAnsi"/>
          <w:b w:val="0"/>
          <w:sz w:val="20"/>
        </w:rPr>
        <w:t>Approved by — (S.N.P)</w:t>
      </w:r>
      <w:r w:rsidR="004E3F69">
        <w:rPr>
          <w:rFonts w:asciiTheme="minorHAnsi" w:hAnsiTheme="minorHAnsi" w:cstheme="minorHAnsi"/>
          <w:b w:val="0"/>
          <w:sz w:val="20"/>
        </w:rPr>
      </w:r>
      <w:r w:rsidR="00DD6C4F">
        <w:rPr>
          <w:rFonts w:asciiTheme="minorHAnsi" w:hAnsiTheme="minorHAnsi" w:cstheme="minorHAnsi"/>
          <w:b w:val="0"/>
          <w:sz w:val="20"/>
        </w:rPr>
      </w:r>
    </w:p>
    <w:p w14:paraId="1EA0FFB1" w14:textId="6E64B594" w:rsidR="005E0570" w:rsidRPr="00126599" w:rsidRDefault="00CD45BB" w:rsidP="00CD45BB">
      <w:pPr>
        <w:pStyle w:val="Cover"/>
        <w:spacing w:line="276" w:lineRule="auto"/>
        <w:rPr>
          <w:rFonts w:ascii="Calibri" w:hAnsi="Calibri" w:cstheme="minorHAnsi"/>
          <w:b w:val="0"/>
          <w:sz w:val="20"/>
        </w:rPr>
      </w:pPr>
      <w:r w:rsidRPr="00942B20">
        <w:rPr>
          <w:rFonts w:asciiTheme="minorHAnsi" w:hAnsiTheme="minorHAnsi" w:cstheme="minorHAnsi"/>
          <w:b w:val="0"/>
          <w:sz w:val="20"/>
        </w:rPr>
        <w:t>(Head of Kredit limiti qo‘mitasi)</w:t>
      </w:r>
    </w:p>
    <w:p w14:paraId="217DF4AE" w14:textId="77777777" w:rsidR="007F2B50" w:rsidRDefault="007F2B50" w:rsidP="007F2B50">
      <w:pPr>
        <w:pStyle w:val="Cover"/>
        <w:spacing w:line="276" w:lineRule="auto"/>
        <w:rPr>
          <w:rFonts w:cstheme="minorHAnsi"/>
          <w:sz w:val="20"/>
        </w:rPr>
      </w:pPr>
    </w:p>
    <w:p w14:paraId="11DC5EE5" w14:textId="77777777" w:rsidR="006E24D8" w:rsidRPr="00424480" w:rsidRDefault="006E24D8" w:rsidP="007F2B50">
      <w:pPr>
        <w:pStyle w:val="Cover"/>
        <w:spacing w:line="276" w:lineRule="auto"/>
        <w:rPr>
          <w:rFonts w:cstheme="minorHAnsi"/>
          <w:sz w:val="20"/>
        </w:rPr>
      </w:pPr>
    </w:p>
    <w:p w14:paraId="782086B5" w14:textId="77777777" w:rsidR="005E0570" w:rsidRPr="00424480" w:rsidRDefault="005E0570" w:rsidP="002919E5">
      <w:pPr>
        <w:spacing w:after="0"/>
        <w:rPr>
          <w:rFonts w:cstheme="minorHAnsi"/>
          <w:sz w:val="20"/>
          <w:szCs w:val="20"/>
          <w:u w:val="single"/>
        </w:rPr>
      </w:pPr>
      <w:r w:rsidRPr="00424480">
        <w:rPr>
          <w:rFonts w:cstheme="minorHAnsi"/>
          <w:sz w:val="20"/>
          <w:szCs w:val="20"/>
        </w:rPr>
        <w:t>Prepared by —</w:t>
      </w:r>
      <w:r w:rsidR="007F2B50">
        <w:rPr>
          <w:rFonts w:cstheme="minorHAnsi"/>
          <w:sz w:val="20"/>
          <w:szCs w:val="20"/>
        </w:rPr>
      </w:r>
    </w:p>
    <w:p w14:paraId="12DCC33F" w14:textId="77777777" w:rsidR="005E0570" w:rsidRPr="00424480" w:rsidRDefault="007F2B50" w:rsidP="005E0570">
      <w:pPr>
        <w:rPr>
          <w:rFonts w:cstheme="minorHAnsi"/>
          <w:sz w:val="20"/>
          <w:szCs w:val="20"/>
        </w:rPr>
      </w:pPr>
      <w:r>
        <w:rPr>
          <w:rFonts w:cstheme="minorHAnsi"/>
          <w:sz w:val="20"/>
          <w:szCs w:val="20"/>
        </w:rPr>
        <w:t>(Expert in the Yunusobod filiali)</w:t>
      </w:r>
      <w:r w:rsidR="005E0570" w:rsidRPr="00424480">
        <w:rPr>
          <w:rFonts w:cstheme="minorHAnsi"/>
          <w:sz w:val="20"/>
          <w:szCs w:val="20"/>
        </w:rPr>
      </w:r>
      <w:r w:rsidR="007F1334">
        <w:rPr>
          <w:rFonts w:cstheme="minorHAnsi"/>
          <w:sz w:val="20"/>
          <w:szCs w:val="20"/>
        </w:rPr>
      </w:r>
      <w:r w:rsidR="00502724">
        <w:rPr>
          <w:rFonts w:cstheme="minorHAnsi"/>
          <w:sz w:val="20"/>
          <w:szCs w:val="20"/>
        </w:rPr>
      </w:r>
      <w:r w:rsidR="005E0570" w:rsidRPr="00424480">
        <w:rPr>
          <w:rFonts w:cstheme="minorHAnsi"/>
          <w:sz w:val="20"/>
          <w:szCs w:val="20"/>
        </w:rPr>
      </w:r>
    </w:p>
    <w:p w14:paraId="3A3AF42C" w14:textId="77777777" w:rsidR="005E0570" w:rsidRPr="00E96C69" w:rsidRDefault="005E0570" w:rsidP="005E0570">
      <w:pPr>
        <w:rPr>
          <w:rFonts w:cstheme="minorHAnsi"/>
        </w:rPr>
      </w:pPr>
    </w:p>
    <w:p w14:paraId="02B5FCE0" w14:textId="77777777" w:rsidR="005E0570" w:rsidRPr="00424480" w:rsidRDefault="005E0570" w:rsidP="00CD45BB">
      <w:pPr>
        <w:spacing w:after="0"/>
        <w:rPr>
          <w:rFonts w:cstheme="minorHAnsi"/>
          <w:sz w:val="20"/>
          <w:szCs w:val="20"/>
        </w:rPr>
      </w:pPr>
    </w:p>
    <w:p w14:paraId="1AB2DC64" w14:textId="70914BA3" w:rsidR="00BA0ADE" w:rsidRDefault="005E0570" w:rsidP="00543421">
      <w:pPr>
        <w:tabs>
          <w:tab w:val="left" w:pos="2127"/>
        </w:tabs>
        <w:rPr>
          <w:rFonts w:cstheme="minorHAnsi"/>
          <w:sz w:val="20"/>
          <w:szCs w:val="20"/>
        </w:rPr>
      </w:pPr>
      <w:r w:rsidRPr="00424480">
        <w:rPr>
          <w:rFonts w:cstheme="minorHAnsi"/>
          <w:sz w:val="20"/>
          <w:szCs w:val="20"/>
        </w:rPr>
        <w:t>Date: 14.04.2026</w:t>
      </w:r>
      <w:sdt>
        <w:sdtPr>
          <w:rPr>
            <w:rFonts w:cstheme="minorHAnsi"/>
            <w:sz w:val="20"/>
            <w:szCs w:val="20"/>
          </w:rPr>
          <w:id w:val="106082962"/>
          <w:lock w:val="sdtLocked"/>
          <w:placeholder>
            <w:docPart w:val="DefaultPlaceholder_-1854013437"/>
          </w:placeholder>
          <w:date>
            <w:dateFormat w:val="dd.MM.yyyy"/>
            <w:lid w:val="ru-RU"/>
            <w:storeMappedDataAs w:val="dateTime"/>
            <w:calendar w:val="gregorian"/>
          </w:date>
        </w:sdtPr>
        <w:sdtContent>
          <w:r w:rsidR="00120FB1">
            <w:rPr>
              <w:rFonts w:cstheme="minorHAnsi"/>
              <w:sz w:val="20"/>
              <w:szCs w:val="20"/>
            </w:rPr>
            <w:t>XX</w:t>
          </w:r>
          <w:r w:rsidR="00FF6FDC">
            <w:rPr>
              <w:rFonts w:cstheme="minorHAnsi"/>
              <w:sz w:val="20"/>
              <w:szCs w:val="20"/>
              <w:lang w:val="ru-RU"/>
            </w:rPr>
            <w:t>.</w:t>
          </w:r>
          <w:r w:rsidR="00120FB1">
            <w:rPr>
              <w:rFonts w:cstheme="minorHAnsi"/>
              <w:sz w:val="20"/>
              <w:szCs w:val="20"/>
            </w:rPr>
            <w:t>XX</w:t>
          </w:r>
          <w:r w:rsidR="00FF6FDC">
            <w:rPr>
              <w:rFonts w:cstheme="minorHAnsi"/>
              <w:sz w:val="20"/>
              <w:szCs w:val="20"/>
              <w:lang w:val="ru-RU"/>
            </w:rPr>
            <w:t>.</w:t>
          </w:r>
          <w:r w:rsidR="00120FB1">
            <w:rPr>
              <w:rFonts w:cstheme="minorHAnsi"/>
              <w:sz w:val="20"/>
              <w:szCs w:val="20"/>
            </w:rPr>
            <w:t>XXXX</w:t>
          </w:r>
        </w:sdtContent>
      </w:sdt>
    </w:p>
    <w:p w14:paraId="06EAC641" w14:textId="77777777" w:rsidR="00BA0ADE" w:rsidRDefault="00BA0ADE">
      <w:pPr>
        <w:rPr>
          <w:rFonts w:cstheme="minorHAnsi"/>
          <w:sz w:val="20"/>
          <w:szCs w:val="20"/>
        </w:rPr>
      </w:pPr>
      <w:r>
        <w:rPr>
          <w:rFonts w:cstheme="minorHAnsi"/>
          <w:sz w:val="20"/>
          <w:szCs w:val="20"/>
        </w:rPr>
        <w:br w:type="page"/>
      </w:r>
    </w:p>
    <w:tbl>
      <w:tblPr>
        <w:tblStyle w:val="TableGrid"/>
        <w:tblW w:w="13005" w:type="dxa"/>
        <w:tblInd w:w="-1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3005"/>
      </w:tblGrid>
      <w:tr w:rsidR="00E439EC" w:rsidRPr="00B527E0" w14:paraId="11CB11F0" w14:textId="77777777" w:rsidTr="00E439EC">
        <w:trPr>
          <w:trHeight w:val="361"/>
        </w:trPr>
        <w:tc>
          <w:tcPr>
            <w:tcW w:w="13005" w:type="dxa"/>
            <w:shd w:val="clear" w:color="auto" w:fill="92D050"/>
            <w:vAlign w:val="center"/>
          </w:tcPr>
          <w:p w14:paraId="69DE5761" w14:textId="35E35385" w:rsidR="00E439EC" w:rsidRPr="00044FB7" w:rsidRDefault="00680D55" w:rsidP="00233DCD">
            <w:pPr>
              <w:pStyle w:val="Subtitle"/>
              <w:numPr>
                <w:ilvl w:val="0"/>
                <w:numId w:val="3"/>
              </w:numPr>
              <w:spacing w:line="276" w:lineRule="auto"/>
              <w:ind w:left="0"/>
              <w:jc w:val="left"/>
              <w:rPr>
                <w:rFonts w:asciiTheme="minorHAnsi" w:hAnsiTheme="minorHAnsi" w:cstheme="minorHAnsi"/>
                <w:b w:val="0"/>
                <w:bCs w:val="0"/>
                <w:sz w:val="24"/>
                <w:szCs w:val="24"/>
                <w:lang w:val="en-GB"/>
              </w:rPr>
            </w:pPr>
            <w:r w:rsidRPr="00044FB7">
              <w:rPr>
                <w:rFonts w:asciiTheme="minorHAnsi" w:hAnsiTheme="minorHAnsi" w:cstheme="minorHAnsi"/>
                <w:bCs w:val="0"/>
                <w:sz w:val="24"/>
                <w:szCs w:val="24"/>
                <w:lang w:val="en-GB"/>
              </w:rPr>
              <w:lastRenderedPageBreak/>
              <w:t>S</w:t>
            </w:r>
            <w:r w:rsidR="00233DCD">
              <w:rPr>
                <w:rFonts w:asciiTheme="minorHAnsi" w:hAnsiTheme="minorHAnsi" w:cstheme="minorHAnsi"/>
                <w:bCs w:val="0"/>
                <w:sz w:val="24"/>
                <w:szCs w:val="24"/>
                <w:lang w:val="en-GB"/>
              </w:rPr>
              <w:t xml:space="preserve">UMMARY OF THE CLIENT RELATIONSHIP </w:t>
            </w:r>
          </w:p>
        </w:tc>
      </w:tr>
    </w:tbl>
    <w:p w14:paraId="367BD4AB" w14:textId="653753FC" w:rsidR="00E439EC" w:rsidRPr="007E2435" w:rsidRDefault="00E83CDD" w:rsidP="006E24D8">
      <w:pPr>
        <w:pStyle w:val="Subtitle"/>
        <w:spacing w:line="276" w:lineRule="auto"/>
        <w:ind w:left="-567"/>
        <w:jc w:val="both"/>
        <w:rPr>
          <w:rFonts w:asciiTheme="minorHAnsi" w:hAnsiTheme="minorHAnsi" w:cstheme="minorHAnsi"/>
          <w:b w:val="0"/>
          <w:bCs w:val="0"/>
          <w:i/>
          <w:iCs/>
          <w:sz w:val="20"/>
          <w:szCs w:val="20"/>
          <w:lang w:val="en-GB"/>
        </w:rPr>
      </w:pPr>
      <w:r w:rsidRPr="007E2435">
        <w:rPr>
          <w:rFonts w:asciiTheme="minorHAnsi" w:hAnsiTheme="minorHAnsi" w:cstheme="minorHAnsi"/>
          <w:b w:val="0"/>
          <w:bCs w:val="0"/>
          <w:i/>
          <w:iCs/>
          <w:sz w:val="20"/>
          <w:szCs w:val="20"/>
          <w:lang w:val="en-GB"/>
        </w:rPr>
        <w:t>Brief information on applicant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812"/>
        <w:gridCol w:w="812"/>
        <w:gridCol w:w="812"/>
        <w:gridCol w:w="1300"/>
        <w:gridCol w:w="1300"/>
        <w:gridCol w:w="1300"/>
        <w:gridCol w:w="1300"/>
        <w:gridCol w:w="2601"/>
        <w:gridCol w:w="1956"/>
      </w:tblGrid>
      <w:tr w:rsidR="001F6A3D" w:rsidRPr="008E51FF" w14:paraId="005B6903" w14:textId="77777777" w:rsidTr="0067126E">
        <w:trPr>
          <w:trHeight w:val="220"/>
          <w:jc w:val="center"/>
        </w:trPr>
        <w:tc>
          <w:tcPr>
            <w:tcW w:w="3248" w:type="pct"/>
            <w:gridSpan w:val="4"/>
            <w:shd w:val="clear" w:color="auto" w:fill="92D050"/>
            <w:vAlign w:val="center"/>
          </w:tcPr>
          <w:p>
            <w:pPr>
              <w:rPr>
                <w:sz w:val="16"/>
                <w:szCs w:val="16"/>
              </w:rPr>
            </w:pPr>
            <w:r>
              <w:rPr>
                <w:b/>
                <w:sz w:val="16"/>
                <w:szCs w:val="16"/>
              </w:rPr>
              <w:t xml:space="preserve">Company name</w:t>
            </w:r>
          </w:p>
          <w:p w14:paraId="5F92E75B" w14:textId="77777777" w:rsidR="00337CBD" w:rsidRPr="008E51FF" w:rsidRDefault="00337CBD" w:rsidP="00D84191">
            <w:pPr>
              <w:spacing w:after="0" w:line="240" w:lineRule="auto"/>
              <w:rPr>
                <w:rFonts w:cstheme="minorHAnsi"/>
                <w:b/>
                <w:sz w:val="20"/>
                <w:szCs w:val="20"/>
              </w:rPr>
            </w:pPr>
            <w:r w:rsidRPr="008E51FF">
              <w:rPr>
                <w:rFonts w:cstheme="minorHAnsi"/>
                <w:sz w:val="20"/>
                <w:szCs w:val="20"/>
              </w:rPr>
              <w:t>PRODUCTS WATER MCHJ</w:t>
            </w:r>
          </w:p>
        </w:tc>
        <w:tc>
          <w:tcPr>
            <w:tcW w:w="5200" w:type="pct"/>
            <w:gridSpan w:val="4"/>
            <w:shd w:val="clear" w:color="auto" w:fill="auto"/>
            <w:vAlign w:val="center"/>
          </w:tcPr>
          <w:p>
            <w:pPr>
              <w:rPr>
                <w:sz w:val="16"/>
                <w:szCs w:val="16"/>
              </w:rPr>
            </w:pPr>
            <w:r>
              <w:rPr>
                <w:b/>
                <w:sz w:val="16"/>
                <w:szCs w:val="16"/>
              </w:rPr>
              <w:t xml:space="preserve">Client role / Group</w:t>
            </w:r>
          </w:p>
          <w:p w14:paraId="21C284AC" w14:textId="77777777" w:rsidR="00337CBD" w:rsidRPr="008E51FF" w:rsidRDefault="00337CBD" w:rsidP="00D84191">
            <w:pPr>
              <w:spacing w:after="0" w:line="240" w:lineRule="auto"/>
              <w:rPr>
                <w:rFonts w:cstheme="minorHAnsi"/>
                <w:color w:val="0D0D0D"/>
                <w:sz w:val="20"/>
                <w:szCs w:val="20"/>
              </w:rPr>
            </w:pPr>
            <w:r w:rsidRPr="008E51FF">
              <w:rPr>
                <w:rFonts w:cstheme="minorHAnsi"/>
                <w:color w:val="0D0D0D"/>
                <w:sz w:val="20"/>
                <w:szCs w:val="20"/>
              </w:rPr>
              <w:t>Qarzdor</w:t>
              <w:br/>
              <w:t>OTP guruhi</w:t>
            </w:r>
          </w:p>
        </w:tc>
        <w:tc>
          <w:tcPr>
            <w:tcW w:w="2601" w:type="pct"/>
            <w:shd w:val="clear" w:color="auto" w:fill="92D050"/>
            <w:vAlign w:val="center"/>
          </w:tcPr>
          <w:p w14:paraId="3D2F40F5" w14:textId="77777777" w:rsidR="00337CBD" w:rsidRPr="008E51FF" w:rsidRDefault="00337CBD" w:rsidP="00D84191">
            <w:pPr>
              <w:spacing w:after="0" w:line="240" w:lineRule="auto"/>
              <w:rPr>
                <w:rFonts w:cstheme="minorHAnsi"/>
                <w:sz w:val="20"/>
                <w:szCs w:val="20"/>
              </w:rPr>
            </w:pPr>
            <w:r w:rsidRPr="008E51FF">
              <w:rPr>
                <w:rFonts w:cstheme="minorHAnsi"/>
                <w:b/>
                <w:sz w:val="20"/>
                <w:szCs w:val="20"/>
              </w:rPr>
              <w:t>Legal establishment date</w:t>
            </w:r>
          </w:p>
        </w:tc>
        <w:tc>
          <w:tcPr>
            <w:tcW w:w="1956" w:type="pct"/>
            <w:shd w:val="clear" w:color="auto" w:fill="auto"/>
            <w:vAlign w:val="center"/>
          </w:tcPr>
          <w:p w14:paraId="58DBB92A" w14:textId="77777777" w:rsidR="00337CBD" w:rsidRPr="008E51FF" w:rsidRDefault="00337CBD" w:rsidP="00D84191">
            <w:pPr>
              <w:spacing w:after="0" w:line="240" w:lineRule="auto"/>
              <w:rPr>
                <w:rFonts w:cstheme="minorHAnsi"/>
                <w:sz w:val="20"/>
                <w:szCs w:val="20"/>
              </w:rPr>
            </w:pPr>
            <w:r w:rsidRPr="008E51FF">
              <w:rPr>
                <w:rFonts w:cstheme="minorHAnsi"/>
                <w:sz w:val="20"/>
                <w:szCs w:val="20"/>
              </w:rPr>
              <w:t>2021-03-02</w:t>
            </w:r>
          </w:p>
        </w:tc>
      </w:tr>
      <w:tr w:rsidR="0067126E" w:rsidRPr="008E51FF" w14:paraId="5A670768" w14:textId="77777777" w:rsidTr="000A5E7E">
        <w:trPr>
          <w:trHeight w:val="128"/>
          <w:jc w:val="center"/>
        </w:trPr>
        <w:tc>
          <w:tcPr>
            <w:tcW w:w="812" w:type="pct"/>
            <w:shd w:val="clear" w:color="auto" w:fill="92D050"/>
            <w:vAlign w:val="center"/>
          </w:tcPr>
          <w:p>
            <w:pPr>
              <w:rPr>
                <w:sz w:val="16"/>
                <w:szCs w:val="16"/>
              </w:rPr>
            </w:pPr>
            <w:r>
              <w:rPr>
                <w:b/>
                <w:sz w:val="16"/>
                <w:szCs w:val="16"/>
              </w:rPr>
              <w:t xml:space="preserve">OKED</w:t>
            </w:r>
          </w:p>
          <w:p w14:paraId="1B4DE889" w14:textId="5CE39AF2" w:rsidR="001F6A3D" w:rsidRPr="004A179F" w:rsidRDefault="00810152" w:rsidP="00973EE1">
            <w:pPr>
              <w:spacing w:after="0" w:line="240" w:lineRule="auto"/>
              <w:ind w:right="-81"/>
              <w:jc w:val="both"/>
              <w:rPr>
                <w:rFonts w:cstheme="minorHAnsi"/>
                <w:b/>
                <w:sz w:val="18"/>
                <w:szCs w:val="18"/>
              </w:rPr>
            </w:pPr>
            <w:r w:rsidRPr="004A179F">
              <w:rPr>
                <w:rFonts w:cstheme="minorHAnsi"/>
                <w:sz w:val="18"/>
                <w:szCs w:val="18"/>
              </w:rPr>
              <w:t>46490</w:t>
            </w:r>
          </w:p>
        </w:tc>
        <w:tc>
          <w:tcPr>
            <w:tcW w:w="2436" w:type="pct"/>
            <w:shd w:val="clear" w:color="auto" w:fill="92D050"/>
            <w:vAlign w:val="center"/>
            <w:gridSpan w:val="3"/>
          </w:tcPr>
          <w:p>
            <w:pPr>
              <w:rPr>
                <w:sz w:val="16"/>
                <w:szCs w:val="16"/>
              </w:rPr>
            </w:pPr>
            <w:r>
              <w:rPr>
                <w:b/>
                <w:sz w:val="16"/>
                <w:szCs w:val="16"/>
              </w:rPr>
              <w:t xml:space="preserve">Industry name</w:t>
            </w:r>
          </w:p>
          <w:p w14:paraId="16DE7D8E" w14:textId="22BC18AC" w:rsidR="001F6A3D" w:rsidRPr="004A179F" w:rsidRDefault="00810152" w:rsidP="00973EE1">
            <w:pPr>
              <w:spacing w:after="0" w:line="240" w:lineRule="auto"/>
              <w:ind w:right="-81"/>
              <w:jc w:val="both"/>
              <w:rPr>
                <w:rFonts w:cstheme="minorHAnsi"/>
                <w:b/>
                <w:sz w:val="18"/>
                <w:szCs w:val="18"/>
              </w:rPr>
            </w:pPr>
            <w:r w:rsidRPr="004A179F">
              <w:rPr>
                <w:rFonts w:cstheme="minorHAnsi"/>
                <w:sz w:val="18"/>
                <w:szCs w:val="18"/>
              </w:rPr>
              <w:t>Nooziq-ovqat iste'mol mollari ulgurji savdosi</w:t>
            </w:r>
          </w:p>
        </w:tc>
        <w:tc>
          <w:tcPr>
            <w:tcW w:w="2600" w:type="pct"/>
            <w:gridSpan w:val="2"/>
            <w:shd w:val="clear" w:color="auto" w:fill="92D050"/>
            <w:vAlign w:val="center"/>
          </w:tcPr>
          <w:p>
            <w:pPr>
              <w:rPr>
                <w:sz w:val="16"/>
                <w:szCs w:val="16"/>
              </w:rPr>
            </w:pPr>
            <w:r>
              <w:rPr>
                <w:b/>
                <w:sz w:val="16"/>
                <w:szCs w:val="16"/>
              </w:rPr>
              <w:t xml:space="preserve">OLLP color</w:t>
            </w:r>
          </w:p>
          <w:p w14:paraId="4DD84904" w14:textId="7D7A0589" w:rsidR="001F6A3D" w:rsidRPr="004A179F" w:rsidRDefault="001F6A3D" w:rsidP="00973EE1">
            <w:pPr>
              <w:spacing w:after="0" w:line="240" w:lineRule="auto"/>
              <w:ind w:right="-81"/>
              <w:jc w:val="both"/>
              <w:rPr>
                <w:rFonts w:cstheme="minorHAnsi"/>
                <w:b/>
                <w:sz w:val="18"/>
                <w:szCs w:val="18"/>
              </w:rPr>
            </w:pPr>
            <w:r w:rsidRPr="004A179F">
              <w:rPr>
                <w:rFonts w:cstheme="minorHAnsi"/>
                <w:sz w:val="18"/>
                <w:szCs w:val="18"/>
              </w:rPr>
              <w:t>to‘q sariq</w:t>
            </w:r>
          </w:p>
        </w:tc>
        <w:tc>
          <w:tcPr>
            <w:tcW w:w="2600" w:type="pct"/>
            <w:shd w:val="clear" w:color="auto" w:fill="92D050"/>
            <w:vAlign w:val="center"/>
            <w:gridSpan w:val="2"/>
          </w:tcPr>
          <w:p>
            <w:r>
              <w:rPr>
                <w:b/>
              </w:rPr>
              <w:t>Charter capital</w:t>
            </w:r>
          </w:p>
        </w:tc>
        <w:tc>
          <w:tcPr>
            <w:tcW w:w="4557" w:type="pct"/>
            <w:shd w:val="clear" w:color="auto" w:fill="auto"/>
            <w:vAlign w:val="center"/>
            <w:gridSpan w:val="2"/>
          </w:tcPr>
          <w:p w14:paraId="3546ECD3" w14:textId="77777777" w:rsidR="001F6A3D" w:rsidRPr="008E51FF" w:rsidRDefault="001F6A3D" w:rsidP="00D84191">
            <w:pPr>
              <w:spacing w:after="0" w:line="240" w:lineRule="auto"/>
              <w:rPr>
                <w:rFonts w:cstheme="minorHAnsi"/>
                <w:sz w:val="20"/>
                <w:szCs w:val="20"/>
              </w:rPr>
            </w:pPr>
            <w:r w:rsidRPr="008E51FF">
              <w:rPr>
                <w:rFonts w:cstheme="minorHAnsi"/>
                <w:b/>
                <w:sz w:val="20"/>
                <w:szCs w:val="20"/>
              </w:rPr>
              <w:t>300000000</w:t>
            </w:r>
          </w:p>
        </w:tc>
      </w:tr>
      <w:tr w:rsidR="0067126E" w:rsidRPr="008E51FF" w14:paraId="637E2A4F" w14:textId="77777777" w:rsidTr="000A5E7E">
        <w:trPr>
          <w:trHeight w:val="128"/>
          <w:jc w:val="center"/>
        </w:trPr>
        <w:tc>
          <w:tcPr>
            <w:tcW w:w="1624" w:type="pct"/>
            <w:shd w:val="clear" w:color="auto" w:fill="92D050"/>
            <w:vAlign w:val="center"/>
            <w:gridSpan w:val="2"/>
          </w:tcPr>
          <w:p>
            <w:pPr>
              <w:rPr>
                <w:sz w:val="16"/>
                <w:szCs w:val="16"/>
              </w:rPr>
            </w:pPr>
            <w:r>
              <w:rPr>
                <w:b/>
                <w:sz w:val="16"/>
                <w:szCs w:val="16"/>
              </w:rPr>
              <w:t xml:space="preserve">Stage</w:t>
            </w:r>
          </w:p>
          <w:p w14:paraId="5C7733FD" w14:textId="57A90B42" w:rsidR="001F6A3D" w:rsidRPr="004A179F" w:rsidRDefault="001F6A3D" w:rsidP="00D84191">
            <w:pPr>
              <w:spacing w:after="0" w:line="240" w:lineRule="auto"/>
              <w:rPr>
                <w:rFonts w:cstheme="minorHAnsi"/>
                <w:b/>
                <w:sz w:val="18"/>
                <w:szCs w:val="18"/>
              </w:rPr>
            </w:pPr>
            <w:r w:rsidRPr="004A179F">
              <w:rPr>
                <w:rFonts w:cstheme="minorHAnsi"/>
                <w:sz w:val="18"/>
                <w:szCs w:val="18"/>
              </w:rPr>
              <w:t>1-bosqich</w:t>
            </w:r>
          </w:p>
        </w:tc>
        <w:tc>
          <w:tcPr>
            <w:tcW w:w="1624" w:type="pct"/>
            <w:shd w:val="clear" w:color="auto" w:fill="92D050"/>
            <w:vAlign w:val="center"/>
            <w:gridSpan w:val="2"/>
          </w:tcPr>
          <w:p>
            <w:pPr>
              <w:rPr>
                <w:sz w:val="16"/>
                <w:szCs w:val="16"/>
              </w:rPr>
            </w:pPr>
            <w:r>
              <w:rPr>
                <w:b/>
                <w:sz w:val="16"/>
                <w:szCs w:val="16"/>
              </w:rPr>
              <w:t xml:space="preserve">CRS</w:t>
            </w:r>
          </w:p>
          <w:p w14:paraId="641258D5" w14:textId="4978BAD1" w:rsidR="001F6A3D" w:rsidRPr="004A179F" w:rsidRDefault="0067126E" w:rsidP="00D84191">
            <w:pPr>
              <w:spacing w:after="0" w:line="240" w:lineRule="auto"/>
              <w:rPr>
                <w:rFonts w:cstheme="minorHAnsi"/>
                <w:b/>
                <w:sz w:val="18"/>
                <w:szCs w:val="18"/>
              </w:rPr>
            </w:pPr>
            <w:r w:rsidRPr="004A179F">
              <w:rPr>
                <w:rFonts w:cstheme="minorHAnsi"/>
                <w:sz w:val="18"/>
                <w:szCs w:val="18"/>
              </w:rPr>
              <w:t>B - 61 O‘rta</w:t>
            </w:r>
          </w:p>
        </w:tc>
        <w:tc>
          <w:tcPr>
            <w:tcW w:w="812" w:type="pct"/>
            <w:shd w:val="clear" w:color="auto" w:fill="92D050"/>
            <w:vAlign w:val="center"/>
          </w:tcPr>
          <w:p>
            <w:pPr>
              <w:rPr>
                <w:sz w:val="16"/>
                <w:szCs w:val="16"/>
              </w:rPr>
            </w:pPr>
            <w:r>
              <w:rPr>
                <w:b/>
                <w:sz w:val="16"/>
                <w:szCs w:val="16"/>
              </w:rPr>
              <w:t xml:space="preserve">Forbearance</w:t>
            </w:r>
          </w:p>
          <w:p w14:paraId="2EE6E11C" w14:textId="5F1443B4" w:rsidR="001F6A3D" w:rsidRPr="004A179F" w:rsidRDefault="001F6A3D" w:rsidP="0067126E">
            <w:pPr>
              <w:tabs>
                <w:tab w:val="left" w:pos="436"/>
              </w:tabs>
              <w:spacing w:after="0" w:line="240" w:lineRule="auto"/>
              <w:ind w:right="-105"/>
              <w:rPr>
                <w:rFonts w:cstheme="minorHAnsi"/>
                <w:b/>
                <w:sz w:val="18"/>
                <w:szCs w:val="18"/>
              </w:rPr>
            </w:pPr>
            <w:r w:rsidRPr="004A179F">
              <w:rPr>
                <w:rFonts w:cstheme="minorHAnsi"/>
                <w:sz w:val="18"/>
                <w:szCs w:val="18"/>
              </w:rPr>
              <w:t>yo‘q</w:t>
            </w:r>
          </w:p>
        </w:tc>
        <w:tc>
          <w:tcPr>
            <w:tcW w:w="812" w:type="pct"/>
            <w:shd w:val="clear" w:color="auto" w:fill="92D050"/>
            <w:vAlign w:val="center"/>
          </w:tcPr>
          <w:p>
            <w:pPr>
              <w:rPr>
                <w:sz w:val="16"/>
                <w:szCs w:val="16"/>
              </w:rPr>
            </w:pPr>
            <w:r>
              <w:rPr>
                <w:b/>
                <w:sz w:val="16"/>
                <w:szCs w:val="16"/>
              </w:rPr>
              <w:t xml:space="preserve">Local</w:t>
            </w:r>
          </w:p>
          <w:p w14:paraId="3D941465" w14:textId="4C6EF490" w:rsidR="001F6A3D" w:rsidRPr="004A179F" w:rsidRDefault="001F6A3D" w:rsidP="00D84191">
            <w:pPr>
              <w:spacing w:after="0" w:line="240" w:lineRule="auto"/>
              <w:rPr>
                <w:rFonts w:cstheme="minorHAnsi"/>
                <w:b/>
                <w:sz w:val="18"/>
                <w:szCs w:val="18"/>
              </w:rPr>
            </w:pPr>
            <w:r w:rsidRPr="004A179F">
              <w:rPr>
                <w:rFonts w:cstheme="minorHAnsi"/>
                <w:sz w:val="18"/>
                <w:szCs w:val="18"/>
              </w:rPr>
              <w:t>ha</w:t>
            </w:r>
          </w:p>
        </w:tc>
        <w:tc>
          <w:tcPr>
            <w:tcW w:w="2600" w:type="pct"/>
            <w:shd w:val="clear" w:color="auto" w:fill="92D050"/>
            <w:vAlign w:val="center"/>
            <w:gridSpan w:val="2"/>
          </w:tcPr>
          <w:p w14:paraId="354B011A" w14:textId="77777777" w:rsidR="001F6A3D" w:rsidRPr="008E51FF" w:rsidRDefault="001F6A3D" w:rsidP="00D84191">
            <w:pPr>
              <w:spacing w:after="0" w:line="240" w:lineRule="auto"/>
              <w:rPr>
                <w:rFonts w:cstheme="minorHAnsi"/>
                <w:b/>
                <w:sz w:val="20"/>
                <w:szCs w:val="20"/>
              </w:rPr>
            </w:pPr>
            <w:r w:rsidRPr="008E51FF">
              <w:rPr>
                <w:rFonts w:cstheme="minorHAnsi"/>
                <w:b/>
                <w:sz w:val="20"/>
                <w:szCs w:val="20"/>
              </w:rPr>
              <w:t>Compliance risk</w:t>
            </w:r>
          </w:p>
        </w:tc>
        <w:tc>
          <w:tcPr>
            <w:tcW w:w="4557" w:type="pct"/>
            <w:shd w:val="clear" w:color="auto" w:fill="auto"/>
            <w:vAlign w:val="center"/>
            <w:gridSpan w:val="2"/>
          </w:tcPr>
          <w:p>
            <w:r>
              <w:t>Past</w:t>
            </w:r>
          </w:p>
        </w:tc>
      </w:tr>
      <w:tr w:rsidR="001F6A3D" w:rsidRPr="008E51FF" w14:paraId="0B49EA92" w14:textId="77777777" w:rsidTr="0067126E">
        <w:trPr>
          <w:trHeight w:val="444"/>
          <w:jc w:val="center"/>
        </w:trPr>
        <w:tc>
          <w:tcPr>
            <w:tcW w:w="3248" w:type="pct"/>
            <w:gridSpan w:val="4"/>
            <w:shd w:val="clear" w:color="auto" w:fill="92D050"/>
            <w:vAlign w:val="center"/>
          </w:tcPr>
          <w:p w14:paraId="7A2A0FE8" w14:textId="77777777" w:rsidR="00337CBD" w:rsidRPr="008E51FF" w:rsidRDefault="00337CBD" w:rsidP="00D84191">
            <w:pPr>
              <w:spacing w:after="0" w:line="240" w:lineRule="auto"/>
              <w:rPr>
                <w:rFonts w:cstheme="minorHAnsi"/>
                <w:b/>
                <w:sz w:val="20"/>
                <w:szCs w:val="20"/>
              </w:rPr>
            </w:pPr>
            <w:r w:rsidRPr="008E51FF">
              <w:rPr>
                <w:rFonts w:cstheme="minorHAnsi"/>
                <w:b/>
                <w:sz w:val="20"/>
                <w:szCs w:val="20"/>
              </w:rPr>
              <w:t>Serving banks</w:t>
            </w:r>
          </w:p>
        </w:tc>
        <w:tc>
          <w:tcPr>
            <w:tcW w:w="5200" w:type="pct"/>
            <w:gridSpan w:val="4"/>
            <w:shd w:val="clear" w:color="auto" w:fill="auto"/>
            <w:vAlign w:val="center"/>
          </w:tcPr>
          <w:p w14:paraId="3AB1371C" w14:textId="77777777" w:rsidR="00337CBD" w:rsidRPr="008E51FF" w:rsidRDefault="00337CBD" w:rsidP="00D84191">
            <w:pPr>
              <w:spacing w:after="0" w:line="240" w:lineRule="auto"/>
              <w:rPr>
                <w:rFonts w:cstheme="minorHAnsi"/>
                <w:color w:val="000000"/>
                <w:sz w:val="20"/>
                <w:szCs w:val="20"/>
              </w:rPr>
            </w:pPr>
            <w:r w:rsidRPr="008E51FF">
              <w:rPr>
                <w:rFonts w:cstheme="minorHAnsi"/>
                <w:sz w:val="20"/>
                <w:szCs w:val="20"/>
              </w:rPr>
              <w:t>Primary account: O‘zbekiston Milliy banki Uchtepa filiali</w:t>
              <w:br/>
              <w:t>Secondary accounts: Ipoteka banki Yunusobod filialida ikkilamchi hisob raqami</w:t>
            </w:r>
          </w:p>
          <w:p w14:paraId="3B9C0284" w14:textId="77777777" w:rsidR="00337CBD" w:rsidRPr="008E51FF" w:rsidRDefault="00337CBD" w:rsidP="00D84191">
            <w:pPr>
              <w:spacing w:after="0" w:line="240" w:lineRule="auto"/>
              <w:rPr>
                <w:rFonts w:cstheme="minorHAnsi"/>
                <w:color w:val="000000"/>
                <w:sz w:val="20"/>
                <w:szCs w:val="20"/>
              </w:rPr>
            </w:pPr>
            <w:r w:rsidRPr="008E51FF">
              <w:rPr>
                <w:rFonts w:cstheme="minorHAnsi"/>
                <w:color w:val="000000"/>
                <w:sz w:val="20"/>
                <w:szCs w:val="20"/>
              </w:rPr>
            </w:r>
          </w:p>
        </w:tc>
        <w:tc>
          <w:tcPr>
            <w:tcW w:w="2601" w:type="pct"/>
            <w:shd w:val="clear" w:color="auto" w:fill="92D050"/>
            <w:vAlign w:val="center"/>
          </w:tcPr>
          <w:p w14:paraId="6B195785" w14:textId="26C58690" w:rsidR="00337CBD" w:rsidRPr="008E51FF" w:rsidRDefault="00BE41A1" w:rsidP="00D84191">
            <w:pPr>
              <w:spacing w:after="0" w:line="240" w:lineRule="auto"/>
              <w:rPr>
                <w:rFonts w:cstheme="minorHAnsi"/>
                <w:b/>
                <w:sz w:val="20"/>
                <w:szCs w:val="20"/>
              </w:rPr>
            </w:pPr>
            <w:r>
              <w:rPr>
                <w:rFonts w:cstheme="minorHAnsi"/>
                <w:b/>
                <w:sz w:val="20"/>
                <w:szCs w:val="20"/>
              </w:rPr>
              <w:t>Relationship</w:t>
            </w:r>
            <w:r w:rsidR="00337CBD" w:rsidRPr="008E51FF">
              <w:rPr>
                <w:rFonts w:cstheme="minorHAnsi"/>
                <w:b/>
                <w:sz w:val="20"/>
                <w:szCs w:val="20"/>
              </w:rPr>
              <w:t xml:space="preserve"> with the Bank since</w:t>
            </w:r>
          </w:p>
        </w:tc>
        <w:tc>
          <w:tcPr>
            <w:tcW w:w="1956" w:type="pct"/>
            <w:shd w:val="clear" w:color="auto" w:fill="auto"/>
            <w:vAlign w:val="center"/>
          </w:tcPr>
          <w:p w14:paraId="463F73CA" w14:textId="77777777" w:rsidR="00337CBD" w:rsidRPr="008E51FF" w:rsidRDefault="00337CBD" w:rsidP="00D84191">
            <w:pPr>
              <w:spacing w:after="0" w:line="240" w:lineRule="auto"/>
              <w:rPr>
                <w:rFonts w:cstheme="minorHAnsi"/>
                <w:sz w:val="20"/>
                <w:szCs w:val="20"/>
              </w:rPr>
            </w:pPr>
            <w:r w:rsidRPr="008E51FF">
              <w:rPr>
                <w:rFonts w:cstheme="minorHAnsi"/>
                <w:sz w:val="20"/>
                <w:szCs w:val="20"/>
              </w:rPr>
              <w:t>2021</w:t>
            </w:r>
          </w:p>
        </w:tc>
      </w:tr>
      <w:tr w:rsidR="001F6A3D" w:rsidRPr="008E51FF" w14:paraId="3B6C3CA4" w14:textId="77777777" w:rsidTr="0067126E">
        <w:trPr>
          <w:trHeight w:val="323"/>
          <w:jc w:val="center"/>
        </w:trPr>
        <w:tc>
          <w:tcPr>
            <w:tcW w:w="3248" w:type="pct"/>
            <w:gridSpan w:val="4"/>
            <w:shd w:val="clear" w:color="auto" w:fill="92D050"/>
            <w:vAlign w:val="center"/>
          </w:tcPr>
          <w:p w14:paraId="2DB8A2E1" w14:textId="77777777" w:rsidR="00337CBD" w:rsidRPr="008E51FF" w:rsidRDefault="00337CBD" w:rsidP="00D84191">
            <w:pPr>
              <w:spacing w:after="0" w:line="240" w:lineRule="auto"/>
              <w:rPr>
                <w:rFonts w:cstheme="minorHAnsi"/>
                <w:b/>
                <w:sz w:val="20"/>
                <w:szCs w:val="20"/>
              </w:rPr>
            </w:pPr>
            <w:r w:rsidRPr="008E51FF">
              <w:rPr>
                <w:rFonts w:cstheme="minorHAnsi"/>
                <w:b/>
                <w:sz w:val="20"/>
                <w:szCs w:val="20"/>
              </w:rPr>
              <w:t>Main products</w:t>
            </w:r>
          </w:p>
        </w:tc>
        <w:tc>
          <w:tcPr>
            <w:tcW w:w="5200" w:type="pct"/>
            <w:gridSpan w:val="4"/>
            <w:shd w:val="clear" w:color="auto" w:fill="auto"/>
            <w:vAlign w:val="center"/>
          </w:tcPr>
          <w:p w14:paraId="1F4D624A" w14:textId="77777777" w:rsidR="00337CBD" w:rsidRPr="008E51FF" w:rsidRDefault="00337CBD" w:rsidP="00D84191">
            <w:pPr>
              <w:spacing w:after="0" w:line="240" w:lineRule="auto"/>
              <w:rPr>
                <w:rFonts w:cstheme="minorHAnsi"/>
                <w:sz w:val="20"/>
                <w:szCs w:val="20"/>
              </w:rPr>
            </w:pPr>
            <w:r>
              <w:t>alkogolsiz ichimliklar ulgurji savdosi</w:t>
            </w:r>
          </w:p>
        </w:tc>
        <w:tc>
          <w:tcPr>
            <w:tcW w:w="2601" w:type="pct"/>
            <w:shd w:val="clear" w:color="auto" w:fill="92D050"/>
            <w:vAlign w:val="center"/>
          </w:tcPr>
          <w:p w14:paraId="76C06E79" w14:textId="575829A6" w:rsidR="00337CBD" w:rsidRPr="008E51FF" w:rsidRDefault="00337CBD" w:rsidP="00D84191">
            <w:pPr>
              <w:spacing w:after="0" w:line="240" w:lineRule="auto"/>
              <w:rPr>
                <w:rFonts w:cstheme="minorHAnsi"/>
                <w:sz w:val="20"/>
                <w:szCs w:val="20"/>
              </w:rPr>
            </w:pPr>
            <w:r w:rsidRPr="008E51FF">
              <w:rPr>
                <w:rFonts w:cstheme="minorHAnsi"/>
                <w:b/>
                <w:sz w:val="20"/>
                <w:szCs w:val="20"/>
              </w:rPr>
              <w:t>External Audit</w:t>
            </w:r>
          </w:p>
        </w:tc>
        <w:tc>
          <w:tcPr>
            <w:tcW w:w="1956" w:type="pct"/>
            <w:shd w:val="clear" w:color="auto" w:fill="auto"/>
            <w:vAlign w:val="center"/>
          </w:tcPr>
          <w:p w14:paraId="4F5AFDA2" w14:textId="77777777" w:rsidR="00337CBD" w:rsidRPr="008E51FF" w:rsidRDefault="00337CBD" w:rsidP="00D84191">
            <w:pPr>
              <w:spacing w:after="0" w:line="240" w:lineRule="auto"/>
              <w:rPr>
                <w:rFonts w:cstheme="minorHAnsi"/>
                <w:sz w:val="18"/>
                <w:szCs w:val="18"/>
              </w:rPr>
            </w:pPr>
            <w:r w:rsidRPr="008E51FF">
              <w:rPr>
                <w:rFonts w:cstheme="minorHAnsi"/>
                <w:sz w:val="18"/>
                <w:szCs w:val="18"/>
              </w:rPr>
              <w:t>—</w:t>
            </w:r>
          </w:p>
          <w:p w14:paraId="70C11C6C" w14:textId="77777777" w:rsidR="00337CBD" w:rsidRPr="008E51FF" w:rsidRDefault="00337CBD" w:rsidP="00D84191">
            <w:pPr>
              <w:spacing w:after="0" w:line="240" w:lineRule="auto"/>
              <w:rPr>
                <w:rFonts w:cstheme="minorHAnsi"/>
                <w:sz w:val="20"/>
                <w:szCs w:val="20"/>
              </w:rPr>
            </w:pPr>
            <w:r w:rsidRPr="008E51FF">
              <w:rPr>
                <w:rFonts w:cstheme="minorHAnsi"/>
                <w:sz w:val="18"/>
                <w:szCs w:val="18"/>
              </w:rPr>
            </w:r>
          </w:p>
        </w:tc>
      </w:tr>
      <w:tr w:rsidR="001F6A3D" w:rsidRPr="008E51FF" w14:paraId="4DC57125" w14:textId="77777777" w:rsidTr="0067126E">
        <w:trPr>
          <w:trHeight w:val="272"/>
          <w:jc w:val="center"/>
        </w:trPr>
        <w:tc>
          <w:tcPr>
            <w:tcW w:w="3248" w:type="pct"/>
            <w:gridSpan w:val="4"/>
            <w:tcBorders>
              <w:bottom w:val="single" w:sz="4" w:space="0" w:color="auto"/>
            </w:tcBorders>
            <w:shd w:val="clear" w:color="auto" w:fill="92D050"/>
            <w:vAlign w:val="center"/>
          </w:tcPr>
          <w:p w14:paraId="425F3E83" w14:textId="77777777" w:rsidR="00337CBD" w:rsidRPr="008E51FF" w:rsidRDefault="00337CBD" w:rsidP="00D84191">
            <w:pPr>
              <w:spacing w:after="0" w:line="240" w:lineRule="auto"/>
              <w:rPr>
                <w:rFonts w:cstheme="minorHAnsi"/>
                <w:b/>
                <w:sz w:val="20"/>
                <w:szCs w:val="20"/>
              </w:rPr>
            </w:pPr>
            <w:r w:rsidRPr="008E51FF">
              <w:rPr>
                <w:rFonts w:cstheme="minorHAnsi"/>
                <w:b/>
                <w:sz w:val="20"/>
                <w:szCs w:val="20"/>
              </w:rPr>
              <w:t>Shareholders</w:t>
            </w:r>
          </w:p>
        </w:tc>
        <w:tc>
          <w:tcPr>
            <w:tcW w:w="5200" w:type="pct"/>
            <w:gridSpan w:val="4"/>
            <w:tcBorders>
              <w:bottom w:val="single" w:sz="4" w:space="0" w:color="auto"/>
            </w:tcBorders>
            <w:shd w:val="clear" w:color="auto" w:fill="auto"/>
            <w:vAlign w:val="center"/>
          </w:tcPr>
          <w:p w14:paraId="5AEE06BF" w14:textId="77777777" w:rsidR="00337CBD" w:rsidRPr="008E51FF" w:rsidRDefault="00337CBD" w:rsidP="00D84191">
            <w:pPr>
              <w:spacing w:after="0" w:line="240" w:lineRule="auto"/>
              <w:rPr>
                <w:rFonts w:cstheme="minorHAnsi"/>
                <w:sz w:val="20"/>
                <w:szCs w:val="20"/>
              </w:rPr>
            </w:pPr>
            <w:r w:rsidRPr="008E51FF">
              <w:rPr>
                <w:rFonts w:cstheme="minorHAnsi"/>
                <w:sz w:val="20"/>
                <w:szCs w:val="20"/>
              </w:rPr>
              <w:t>ANVAROV OTABEK FARXOD O‘G‘LI, FOZILOV JAXONGIR FAXRIDIN O‘G‘LI</w:t>
            </w:r>
          </w:p>
        </w:tc>
        <w:tc>
          <w:tcPr>
            <w:tcW w:w="2601" w:type="pct"/>
            <w:tcBorders>
              <w:bottom w:val="single" w:sz="4" w:space="0" w:color="auto"/>
            </w:tcBorders>
            <w:shd w:val="clear" w:color="auto" w:fill="92D050"/>
            <w:vAlign w:val="center"/>
          </w:tcPr>
          <w:p w14:paraId="7885C173" w14:textId="32A302A4" w:rsidR="00337CBD" w:rsidRPr="004A179F" w:rsidRDefault="00337CBD" w:rsidP="00D84191">
            <w:pPr>
              <w:spacing w:after="0" w:line="240" w:lineRule="auto"/>
              <w:rPr>
                <w:rFonts w:cstheme="minorHAnsi"/>
                <w:b/>
                <w:sz w:val="20"/>
                <w:szCs w:val="20"/>
              </w:rPr>
            </w:pPr>
            <w:r w:rsidRPr="004A179F">
              <w:rPr>
                <w:rFonts w:cstheme="minorHAnsi"/>
                <w:b/>
                <w:sz w:val="20"/>
                <w:szCs w:val="20"/>
              </w:rPr>
              <w:t xml:space="preserve">Client </w:t>
            </w:r>
            <w:r w:rsidR="00441C69" w:rsidRPr="004A179F">
              <w:rPr>
                <w:rFonts w:cstheme="minorHAnsi"/>
                <w:b/>
                <w:sz w:val="20"/>
                <w:szCs w:val="20"/>
              </w:rPr>
              <w:t xml:space="preserve">exposure </w:t>
            </w:r>
            <w:r w:rsidRPr="004A179F">
              <w:rPr>
                <w:rFonts w:cstheme="minorHAnsi"/>
                <w:b/>
                <w:sz w:val="20"/>
                <w:szCs w:val="20"/>
              </w:rPr>
              <w:t>(</w:t>
            </w:r>
            <w:r w:rsidR="00441C69" w:rsidRPr="004A179F">
              <w:rPr>
                <w:rFonts w:cstheme="minorHAnsi"/>
                <w:b/>
                <w:sz w:val="20"/>
                <w:szCs w:val="20"/>
              </w:rPr>
              <w:t>existing</w:t>
            </w:r>
            <w:r w:rsidRPr="004A179F">
              <w:rPr>
                <w:rFonts w:cstheme="minorHAnsi"/>
                <w:b/>
                <w:sz w:val="20"/>
                <w:szCs w:val="20"/>
              </w:rPr>
              <w:t>)</w:t>
            </w:r>
          </w:p>
        </w:tc>
        <w:tc>
          <w:tcPr>
            <w:tcW w:w="1956" w:type="pct"/>
            <w:tcBorders>
              <w:bottom w:val="single" w:sz="4" w:space="0" w:color="auto"/>
            </w:tcBorders>
            <w:shd w:val="clear" w:color="auto" w:fill="auto"/>
            <w:vAlign w:val="center"/>
          </w:tcPr>
          <w:p w14:paraId="3E5B407B" w14:textId="77777777" w:rsidR="00337CBD" w:rsidRPr="008E51FF" w:rsidRDefault="00337CBD" w:rsidP="00D84191">
            <w:pPr>
              <w:spacing w:after="0" w:line="240" w:lineRule="auto"/>
              <w:jc w:val="both"/>
              <w:rPr>
                <w:rFonts w:cstheme="minorHAnsi"/>
                <w:sz w:val="20"/>
                <w:szCs w:val="20"/>
              </w:rPr>
            </w:pPr>
            <w:r w:rsidRPr="008E51FF">
              <w:rPr>
                <w:rFonts w:cstheme="minorHAnsi"/>
                <w:sz w:val="20"/>
                <w:szCs w:val="20"/>
              </w:rPr>
              <w:t>4,944,559,400 UZS</w:t>
            </w:r>
          </w:p>
        </w:tc>
      </w:tr>
      <w:tr w:rsidR="001F6A3D" w:rsidRPr="008E51FF" w14:paraId="01F03654" w14:textId="77777777" w:rsidTr="0067126E">
        <w:trPr>
          <w:trHeight w:val="275"/>
          <w:jc w:val="center"/>
        </w:trPr>
        <w:tc>
          <w:tcPr>
            <w:tcW w:w="3248" w:type="pct"/>
            <w:gridSpan w:val="4"/>
            <w:tcBorders>
              <w:bottom w:val="single" w:sz="4" w:space="0" w:color="auto"/>
            </w:tcBorders>
            <w:shd w:val="clear" w:color="auto" w:fill="92D050"/>
            <w:vAlign w:val="center"/>
          </w:tcPr>
          <w:p>
            <w:r>
              <w:rPr>
                <w:b/>
              </w:rPr>
              <w:t>Credit rating</w:t>
            </w:r>
          </w:p>
        </w:tc>
        <w:tc>
          <w:tcPr>
            <w:gridSpan w:val="6"/>
          </w:tcPr>
          <w:p w14:paraId="2A9276B4" w14:textId="77777777" w:rsidR="00337CBD" w:rsidRPr="008E51FF" w:rsidRDefault="00337CBD" w:rsidP="00D84191">
            <w:pPr>
              <w:spacing w:after="0" w:line="240" w:lineRule="auto"/>
              <w:rPr>
                <w:rFonts w:cstheme="minorHAnsi"/>
                <w:b/>
                <w:sz w:val="20"/>
                <w:szCs w:val="20"/>
              </w:rPr>
            </w:pPr>
            <w:r w:rsidRPr="008E51FF">
              <w:rPr>
                <w:rFonts w:cstheme="minorHAnsi"/>
                <w:sz w:val="20"/>
                <w:szCs w:val="20"/>
              </w:rPr>
              <w:t>B - 61 O‘rta</w:t>
            </w:r>
          </w:p>
        </w:tc>
      </w:tr>
      <w:tr w:rsidR="001F6A3D" w:rsidRPr="008E51FF" w14:paraId="4DC57125" w14:textId="77777777" w:rsidTr="0067126E">
        <w:trPr>
          <w:trHeight w:val="272"/>
          <w:jc w:val="center"/>
        </w:trPr>
        <w:tc>
          <w:tcPr>
            <w:tcW w:w="4548" w:type="pct"/>
            <w:gridSpan w:val="5"/>
            <w:tcBorders>
              <w:bottom w:val="single" w:sz="4" w:space="0" w:color="auto"/>
            </w:tcBorders>
            <w:shd w:val="clear" w:color="auto" w:fill="92D050"/>
            <w:vAlign w:val="center"/>
          </w:tcPr>
          <w:p>
            <w:r>
              <w:rPr>
                <w:b/>
              </w:rPr>
              <w:t>Client group exposure (existing)</w:t>
            </w:r>
          </w:p>
        </w:tc>
        <w:tc>
          <w:tcPr>
            <w:gridSpan w:val="5"/>
          </w:tcPr>
          <w:p w14:paraId="2A9276B4" w14:textId="77777777" w:rsidR="00337CBD" w:rsidRPr="008E51FF" w:rsidRDefault="00337CBD" w:rsidP="00D84191">
            <w:pPr>
              <w:spacing w:after="0" w:line="240" w:lineRule="auto"/>
              <w:rPr>
                <w:rFonts w:cstheme="minorHAnsi"/>
                <w:b/>
                <w:sz w:val="20"/>
                <w:szCs w:val="20"/>
              </w:rPr>
            </w:pPr>
            <w:r w:rsidRPr="008E51FF">
              <w:rPr>
                <w:rFonts w:cstheme="minorHAnsi"/>
                <w:sz w:val="20"/>
                <w:szCs w:val="20"/>
              </w:rPr>
              <w:t>1,200,000</w:t>
            </w:r>
          </w:p>
        </w:tc>
      </w:tr>
    </w:tbl>
    <w:p w14:paraId="7FDE3A1D" w14:textId="13C8D840" w:rsidR="00063457" w:rsidRDefault="00D5003E" w:rsidP="006E24D8">
      <w:pPr>
        <w:ind w:left="-567"/>
        <w:contextualSpacing/>
        <w:jc w:val="both"/>
        <w:rPr>
          <w:rFonts w:ascii="Calibri" w:hAnsi="Calibri" w:cstheme="minorHAnsi"/>
          <w:i/>
          <w:sz w:val="20"/>
          <w:szCs w:val="20"/>
        </w:rPr>
      </w:pPr>
      <w:r>
        <w:rPr>
          <w:rFonts w:ascii="Calibri" w:hAnsi="Calibri" w:cstheme="minorHAnsi"/>
          <w:i/>
          <w:sz w:val="20"/>
          <w:szCs w:val="20"/>
        </w:rPr>
        <w:t>Loan purpose and structure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3805"/>
        <w:gridCol w:w="2284"/>
        <w:gridCol w:w="3444"/>
      </w:tblGrid>
      <w:tr w:rsidR="00337CBD" w:rsidRPr="008E51FF" w14:paraId="4AF73D72" w14:textId="77777777" w:rsidTr="0067126E">
        <w:trPr>
          <w:trHeight w:val="154"/>
          <w:jc w:val="center"/>
        </w:trPr>
        <w:tc>
          <w:tcPr>
            <w:tcW w:w="1612"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483B236D" w14:textId="77777777" w:rsidR="00337CBD" w:rsidRPr="004A179F" w:rsidRDefault="00337CBD" w:rsidP="00D84191">
            <w:pPr>
              <w:spacing w:after="0"/>
              <w:rPr>
                <w:rFonts w:cstheme="minorHAnsi"/>
                <w:b/>
                <w:sz w:val="20"/>
                <w:szCs w:val="20"/>
              </w:rPr>
            </w:pPr>
            <w:r w:rsidRPr="004A179F">
              <w:rPr>
                <w:rFonts w:cstheme="minorHAnsi"/>
                <w:b/>
                <w:sz w:val="20"/>
                <w:szCs w:val="20"/>
              </w:rPr>
              <w:t>Revolver kredit</w:t>
            </w:r>
          </w:p>
        </w:tc>
        <w:tc>
          <w:tcPr>
            <w:tcW w:w="1767" w:type="pct"/>
            <w:tcBorders>
              <w:top w:val="single" w:sz="4" w:space="0" w:color="auto"/>
              <w:left w:val="single" w:sz="4" w:space="0" w:color="auto"/>
              <w:bottom w:val="single" w:sz="4" w:space="0" w:color="auto"/>
              <w:right w:val="single" w:sz="4" w:space="0" w:color="auto"/>
            </w:tcBorders>
            <w:vAlign w:val="center"/>
          </w:tcPr>
          <w:p w14:paraId="1FCAF2E1" w14:textId="77777777" w:rsidR="00337CBD" w:rsidRPr="004A179F" w:rsidRDefault="00337CBD" w:rsidP="00D84191">
            <w:pPr>
              <w:spacing w:after="0" w:line="240" w:lineRule="auto"/>
              <w:rPr>
                <w:rFonts w:cstheme="minorHAnsi"/>
                <w:color w:val="0D0D0D"/>
                <w:sz w:val="20"/>
                <w:szCs w:val="20"/>
              </w:rPr>
            </w:pPr>
            <w:r w:rsidRPr="004A179F">
              <w:rPr>
                <w:rFonts w:cstheme="minorHAnsi"/>
                <w:color w:val="0D0D0D"/>
                <w:sz w:val="20"/>
                <w:szCs w:val="20"/>
              </w:rPr>
              <w:t>Bankning o‘z mablag‘lari</w:t>
            </w:r>
          </w:p>
        </w:tc>
        <w:tc>
          <w:tcPr>
            <w:tcW w:w="1060" w:type="pct"/>
            <w:tcBorders>
              <w:top w:val="single" w:sz="4" w:space="0" w:color="auto"/>
              <w:left w:val="single" w:sz="4" w:space="0" w:color="auto"/>
              <w:bottom w:val="single" w:sz="4" w:space="0" w:color="auto"/>
              <w:right w:val="single" w:sz="4" w:space="0" w:color="auto"/>
            </w:tcBorders>
            <w:shd w:val="clear" w:color="auto" w:fill="92D050"/>
            <w:vAlign w:val="center"/>
          </w:tcPr>
          <w:p w14:paraId="47D452E4" w14:textId="77777777" w:rsidR="00337CBD" w:rsidRPr="008E51FF" w:rsidRDefault="00337CBD" w:rsidP="00D84191">
            <w:pPr>
              <w:spacing w:after="0"/>
              <w:rPr>
                <w:rFonts w:cstheme="minorHAnsi"/>
                <w:b/>
                <w:sz w:val="20"/>
                <w:szCs w:val="20"/>
              </w:rPr>
            </w:pPr>
            <w:r w:rsidRPr="008E51FF">
              <w:rPr>
                <w:rFonts w:cstheme="minorHAnsi"/>
                <w:b/>
                <w:sz w:val="20"/>
                <w:szCs w:val="20"/>
              </w:rPr>
              <w:t>O‘z mablag‘lari</w:t>
            </w:r>
          </w:p>
        </w:tc>
        <w:tc>
          <w:tcPr>
            <w:tcW w:w="1599" w:type="pct"/>
            <w:tcBorders>
              <w:top w:val="single" w:sz="4" w:space="0" w:color="auto"/>
              <w:left w:val="single" w:sz="4" w:space="0" w:color="auto"/>
              <w:bottom w:val="single" w:sz="4" w:space="0" w:color="auto"/>
              <w:right w:val="single" w:sz="4" w:space="0" w:color="auto"/>
            </w:tcBorders>
          </w:tcPr>
          <w:p w14:paraId="377CD4AA" w14:textId="77777777" w:rsidR="00337CBD" w:rsidRPr="008E51FF" w:rsidRDefault="00337CBD" w:rsidP="00D84191">
            <w:pPr>
              <w:spacing w:after="0"/>
              <w:rPr>
                <w:rFonts w:cstheme="minorHAnsi"/>
                <w:sz w:val="20"/>
                <w:szCs w:val="20"/>
              </w:rPr>
            </w:pPr>
            <w:r w:rsidRPr="008E51FF">
              <w:rPr>
                <w:rFonts w:cstheme="minorHAnsi"/>
                <w:sz w:val="20"/>
                <w:szCs w:val="20"/>
              </w:rPr>
              <w:t>oyiga</w:t>
            </w:r>
          </w:p>
        </w:tc>
      </w:tr>
      <w:tr w:rsidR="00AE2A10" w:rsidRPr="008E51FF" w14:paraId="1841334E" w14:textId="77777777" w:rsidTr="0067126E">
        <w:trPr>
          <w:trHeight w:val="117"/>
          <w:jc w:val="center"/>
        </w:trPr>
        <w:tc>
          <w:tcPr>
            <w:tcW w:w="1612"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09FD2764" w14:textId="445EE515" w:rsidR="00AE2A10" w:rsidRPr="004A179F" w:rsidRDefault="00AE2A10" w:rsidP="00D84191">
            <w:pPr>
              <w:spacing w:after="0"/>
              <w:rPr>
                <w:rFonts w:cstheme="minorHAnsi"/>
                <w:b/>
                <w:sz w:val="20"/>
                <w:szCs w:val="20"/>
              </w:rPr>
            </w:pPr>
            <w:r w:rsidRPr="004A179F">
              <w:rPr>
                <w:rFonts w:cstheme="minorHAnsi"/>
                <w:b/>
                <w:sz w:val="20"/>
                <w:szCs w:val="20"/>
              </w:rPr>
              <w:t xml:space="preserve">Proposed </w:t>
            </w:r>
            <w:r w:rsidR="008F4D2E" w:rsidRPr="004A179F">
              <w:rPr>
                <w:rFonts w:cstheme="minorHAnsi"/>
                <w:b/>
                <w:sz w:val="20"/>
                <w:szCs w:val="20"/>
              </w:rPr>
              <w:t>Group exposure</w:t>
            </w:r>
          </w:p>
        </w:tc>
        <w:tc>
          <w:tcPr>
            <w:tcW w:w="1767" w:type="pct"/>
            <w:tcBorders>
              <w:top w:val="single" w:sz="4" w:space="0" w:color="auto"/>
              <w:left w:val="single" w:sz="4" w:space="0" w:color="auto"/>
              <w:bottom w:val="single" w:sz="4" w:space="0" w:color="auto"/>
              <w:right w:val="single" w:sz="4" w:space="0" w:color="auto"/>
            </w:tcBorders>
            <w:vAlign w:val="center"/>
          </w:tcPr>
          <w:p w14:paraId="4FDCED29" w14:textId="3E48D45F" w:rsidR="00AE2A10" w:rsidRPr="004A179F" w:rsidRDefault="0023321A" w:rsidP="00D84191">
            <w:pPr>
              <w:spacing w:after="0" w:line="240" w:lineRule="auto"/>
              <w:rPr>
                <w:rFonts w:cstheme="minorHAnsi"/>
                <w:color w:val="0D0D0D"/>
                <w:sz w:val="20"/>
                <w:szCs w:val="20"/>
              </w:rPr>
            </w:pPr>
            <w:r w:rsidRPr="004A179F">
              <w:rPr>
                <w:rFonts w:cstheme="minorHAnsi"/>
                <w:color w:val="0D0D0D"/>
                <w:sz w:val="20"/>
                <w:szCs w:val="20"/>
              </w:rPr>
              <w:t>1,000,000</w:t>
            </w:r>
            <w:r w:rsidR="00FD469B" w:rsidRPr="004A179F">
              <w:rPr>
                <w:rFonts w:cstheme="minorHAnsi"/>
                <w:color w:val="0D0D0D"/>
                <w:sz w:val="20"/>
                <w:szCs w:val="20"/>
              </w:rPr>
            </w:r>
          </w:p>
        </w:tc>
        <w:tc>
          <w:tcPr>
            <w:tcW w:w="1060" w:type="pct"/>
            <w:vMerge w:val="restart"/>
            <w:tcBorders>
              <w:top w:val="single" w:sz="4" w:space="0" w:color="auto"/>
              <w:left w:val="single" w:sz="4" w:space="0" w:color="auto"/>
              <w:right w:val="single" w:sz="4" w:space="0" w:color="auto"/>
            </w:tcBorders>
            <w:shd w:val="clear" w:color="auto" w:fill="92D050"/>
            <w:vAlign w:val="center"/>
          </w:tcPr>
          <w:p w14:paraId="698322D2" w14:textId="77777777" w:rsidR="00AE2A10" w:rsidRPr="008E51FF" w:rsidRDefault="00AE2A10" w:rsidP="00D84191">
            <w:pPr>
              <w:spacing w:after="0"/>
              <w:rPr>
                <w:rFonts w:cstheme="minorHAnsi"/>
                <w:b/>
                <w:sz w:val="20"/>
                <w:szCs w:val="20"/>
              </w:rPr>
            </w:pPr>
            <w:r w:rsidRPr="008E51FF">
              <w:rPr>
                <w:rFonts w:cstheme="minorHAnsi"/>
                <w:b/>
                <w:sz w:val="20"/>
                <w:szCs w:val="20"/>
              </w:rPr>
              <w:t>Interest Repayment</w:t>
            </w:r>
          </w:p>
        </w:tc>
        <w:tc>
          <w:tcPr>
            <w:tcW w:w="1599" w:type="pct"/>
            <w:vMerge w:val="restart"/>
            <w:tcBorders>
              <w:top w:val="single" w:sz="4" w:space="0" w:color="auto"/>
              <w:left w:val="single" w:sz="4" w:space="0" w:color="auto"/>
              <w:right w:val="single" w:sz="4" w:space="0" w:color="auto"/>
            </w:tcBorders>
            <w:vAlign w:val="center"/>
          </w:tcPr>
          <w:p w14:paraId="66DBC5D4" w14:textId="77777777" w:rsidR="00AE2A10" w:rsidRPr="008E51FF" w:rsidRDefault="00AE2A10" w:rsidP="00441C69">
            <w:pPr>
              <w:spacing w:after="0"/>
              <w:rPr>
                <w:rFonts w:cstheme="minorHAnsi"/>
                <w:sz w:val="20"/>
                <w:szCs w:val="20"/>
              </w:rPr>
            </w:pPr>
            <w:r w:rsidRPr="008E51FF">
              <w:rPr>
                <w:rFonts w:cstheme="minorHAnsi"/>
                <w:sz w:val="20"/>
                <w:szCs w:val="20"/>
              </w:rPr>
              <w:t>Har bir foydalanish 12 oyga, so‘nggi 3 oyda teng qismlarda to‘lanadi.</w:t>
            </w:r>
          </w:p>
        </w:tc>
      </w:tr>
      <w:tr w:rsidR="00AE2A10" w:rsidRPr="008E51FF" w14:paraId="0689E405" w14:textId="77777777" w:rsidTr="0067126E">
        <w:trPr>
          <w:trHeight w:val="117"/>
          <w:jc w:val="center"/>
        </w:trPr>
        <w:tc>
          <w:tcPr>
            <w:tcW w:w="1612" w:type="pct"/>
            <w:tcBorders>
              <w:top w:val="single" w:sz="4" w:space="0" w:color="auto"/>
              <w:left w:val="single" w:sz="4" w:space="0" w:color="auto"/>
              <w:bottom w:val="single" w:sz="4" w:space="0" w:color="auto"/>
              <w:right w:val="single" w:sz="4" w:space="0" w:color="auto"/>
            </w:tcBorders>
            <w:shd w:val="clear" w:color="auto" w:fill="92D050"/>
            <w:vAlign w:val="center"/>
          </w:tcPr>
          <w:p w14:paraId="6ED8B2AC" w14:textId="557E0EB4" w:rsidR="00AE2A10" w:rsidRPr="004A179F" w:rsidRDefault="008F4D2E" w:rsidP="00D84191">
            <w:pPr>
              <w:spacing w:after="0"/>
              <w:rPr>
                <w:rFonts w:cstheme="minorHAnsi"/>
                <w:b/>
                <w:sz w:val="20"/>
                <w:szCs w:val="20"/>
              </w:rPr>
            </w:pPr>
            <w:r w:rsidRPr="004A179F">
              <w:rPr>
                <w:rFonts w:cstheme="minorHAnsi"/>
                <w:b/>
                <w:sz w:val="20"/>
                <w:szCs w:val="20"/>
              </w:rPr>
              <w:t>Proposed Client exposure</w:t>
            </w:r>
          </w:p>
        </w:tc>
        <w:tc>
          <w:tcPr>
            <w:tcW w:w="1767" w:type="pct"/>
            <w:tcBorders>
              <w:top w:val="single" w:sz="4" w:space="0" w:color="auto"/>
              <w:left w:val="single" w:sz="4" w:space="0" w:color="auto"/>
              <w:bottom w:val="single" w:sz="4" w:space="0" w:color="auto"/>
              <w:right w:val="single" w:sz="4" w:space="0" w:color="auto"/>
            </w:tcBorders>
            <w:vAlign w:val="center"/>
          </w:tcPr>
          <w:p w14:paraId="0A4B6B38" w14:textId="2282040B" w:rsidR="00AE2A10" w:rsidRPr="004A179F" w:rsidRDefault="0023321A" w:rsidP="00D84191">
            <w:pPr>
              <w:spacing w:after="0" w:line="240" w:lineRule="auto"/>
              <w:rPr>
                <w:rFonts w:cstheme="minorHAnsi"/>
                <w:color w:val="0D0D0D"/>
                <w:sz w:val="20"/>
                <w:szCs w:val="20"/>
              </w:rPr>
            </w:pPr>
            <w:r w:rsidRPr="004A179F">
              <w:rPr>
                <w:rFonts w:cstheme="minorHAnsi"/>
                <w:color w:val="0D0D0D"/>
                <w:sz w:val="20"/>
                <w:szCs w:val="20"/>
              </w:rPr>
              <w:t>1,000,000</w:t>
            </w:r>
            <w:r w:rsidR="00FD469B" w:rsidRPr="004A179F">
              <w:rPr>
                <w:rFonts w:cstheme="minorHAnsi"/>
                <w:color w:val="0D0D0D"/>
                <w:sz w:val="20"/>
                <w:szCs w:val="20"/>
              </w:rPr>
            </w:r>
          </w:p>
        </w:tc>
        <w:tc>
          <w:tcPr>
            <w:tcW w:w="1060" w:type="pct"/>
            <w:vMerge/>
            <w:tcBorders>
              <w:left w:val="single" w:sz="4" w:space="0" w:color="auto"/>
              <w:right w:val="single" w:sz="4" w:space="0" w:color="auto"/>
            </w:tcBorders>
            <w:shd w:val="clear" w:color="auto" w:fill="92D050"/>
            <w:vAlign w:val="center"/>
          </w:tcPr>
          <w:p w14:paraId="0A5D0B34" w14:textId="77777777" w:rsidR="00AE2A10" w:rsidRPr="008E51FF" w:rsidRDefault="00AE2A10" w:rsidP="00D84191">
            <w:pPr>
              <w:spacing w:after="0"/>
              <w:rPr>
                <w:rFonts w:cstheme="minorHAnsi"/>
                <w:b/>
                <w:sz w:val="20"/>
                <w:szCs w:val="20"/>
              </w:rPr>
            </w:pPr>
          </w:p>
        </w:tc>
        <w:tc>
          <w:tcPr>
            <w:tcW w:w="1599" w:type="pct"/>
            <w:vMerge/>
            <w:tcBorders>
              <w:left w:val="single" w:sz="4" w:space="0" w:color="auto"/>
              <w:right w:val="single" w:sz="4" w:space="0" w:color="auto"/>
            </w:tcBorders>
          </w:tcPr>
          <w:p w14:paraId="2E8384C9" w14:textId="77777777" w:rsidR="00AE2A10" w:rsidRPr="008E51FF" w:rsidRDefault="00AE2A10" w:rsidP="00D84191">
            <w:pPr>
              <w:spacing w:after="0"/>
              <w:rPr>
                <w:rFonts w:cstheme="minorHAnsi"/>
                <w:sz w:val="20"/>
                <w:szCs w:val="20"/>
              </w:rPr>
            </w:pPr>
          </w:p>
        </w:tc>
      </w:tr>
      <w:tr w:rsidR="00AE2A10" w:rsidRPr="008E51FF" w14:paraId="4EB85F0F" w14:textId="77777777" w:rsidTr="0067126E">
        <w:trPr>
          <w:trHeight w:val="117"/>
          <w:jc w:val="center"/>
        </w:trPr>
        <w:tc>
          <w:tcPr>
            <w:tcW w:w="1612" w:type="pct"/>
            <w:tcBorders>
              <w:top w:val="single" w:sz="4" w:space="0" w:color="auto"/>
              <w:left w:val="single" w:sz="4" w:space="0" w:color="auto"/>
              <w:bottom w:val="single" w:sz="4" w:space="0" w:color="auto"/>
              <w:right w:val="single" w:sz="4" w:space="0" w:color="auto"/>
            </w:tcBorders>
            <w:shd w:val="clear" w:color="auto" w:fill="92D050"/>
            <w:vAlign w:val="center"/>
          </w:tcPr>
          <w:p w14:paraId="1DAC3F7B" w14:textId="0B619456" w:rsidR="00AE2A10" w:rsidRPr="004A179F" w:rsidRDefault="008F4D2E" w:rsidP="00D84191">
            <w:pPr>
              <w:spacing w:after="0"/>
              <w:rPr>
                <w:rFonts w:cstheme="minorHAnsi"/>
                <w:b/>
                <w:sz w:val="20"/>
                <w:szCs w:val="20"/>
              </w:rPr>
            </w:pPr>
            <w:r w:rsidRPr="004A179F">
              <w:rPr>
                <w:rFonts w:cstheme="minorHAnsi"/>
                <w:b/>
                <w:sz w:val="20"/>
                <w:szCs w:val="20"/>
              </w:rPr>
              <w:t>Proposed new transaction amount</w:t>
            </w:r>
          </w:p>
        </w:tc>
        <w:tc>
          <w:tcPr>
            <w:tcW w:w="1767" w:type="pct"/>
            <w:tcBorders>
              <w:top w:val="single" w:sz="4" w:space="0" w:color="auto"/>
              <w:left w:val="single" w:sz="4" w:space="0" w:color="auto"/>
              <w:bottom w:val="single" w:sz="4" w:space="0" w:color="auto"/>
              <w:right w:val="single" w:sz="4" w:space="0" w:color="auto"/>
            </w:tcBorders>
            <w:vAlign w:val="center"/>
          </w:tcPr>
          <w:p w14:paraId="740C1198" w14:textId="6FE3BBC9" w:rsidR="00AE2A10" w:rsidRPr="004A179F" w:rsidRDefault="0023321A" w:rsidP="00D84191">
            <w:pPr>
              <w:spacing w:after="0" w:line="240" w:lineRule="auto"/>
              <w:rPr>
                <w:rFonts w:cstheme="minorHAnsi"/>
                <w:color w:val="0D0D0D"/>
                <w:sz w:val="20"/>
                <w:szCs w:val="20"/>
              </w:rPr>
            </w:pPr>
            <w:r w:rsidRPr="004A179F">
              <w:rPr>
                <w:rFonts w:cstheme="minorHAnsi"/>
                <w:color w:val="0D0D0D"/>
                <w:sz w:val="20"/>
                <w:szCs w:val="20"/>
              </w:rPr>
              <w:t>1000000</w:t>
            </w:r>
          </w:p>
        </w:tc>
        <w:tc>
          <w:tcPr>
            <w:tcW w:w="1060" w:type="pct"/>
            <w:vMerge/>
            <w:tcBorders>
              <w:left w:val="single" w:sz="4" w:space="0" w:color="auto"/>
              <w:bottom w:val="single" w:sz="4" w:space="0" w:color="auto"/>
              <w:right w:val="single" w:sz="4" w:space="0" w:color="auto"/>
            </w:tcBorders>
            <w:shd w:val="clear" w:color="auto" w:fill="92D050"/>
            <w:vAlign w:val="center"/>
          </w:tcPr>
          <w:p w14:paraId="0E0BF21A" w14:textId="77777777" w:rsidR="00AE2A10" w:rsidRPr="008E51FF" w:rsidRDefault="00AE2A10" w:rsidP="00D84191">
            <w:pPr>
              <w:spacing w:after="0"/>
              <w:rPr>
                <w:rFonts w:cstheme="minorHAnsi"/>
                <w:b/>
                <w:sz w:val="20"/>
                <w:szCs w:val="20"/>
              </w:rPr>
            </w:pPr>
          </w:p>
        </w:tc>
        <w:tc>
          <w:tcPr>
            <w:tcW w:w="1599" w:type="pct"/>
            <w:vMerge/>
            <w:tcBorders>
              <w:left w:val="single" w:sz="4" w:space="0" w:color="auto"/>
              <w:bottom w:val="single" w:sz="4" w:space="0" w:color="auto"/>
              <w:right w:val="single" w:sz="4" w:space="0" w:color="auto"/>
            </w:tcBorders>
          </w:tcPr>
          <w:p w14:paraId="7B5388E9" w14:textId="77777777" w:rsidR="00AE2A10" w:rsidRPr="008E51FF" w:rsidRDefault="00AE2A10" w:rsidP="00D84191">
            <w:pPr>
              <w:spacing w:after="0"/>
              <w:rPr>
                <w:rFonts w:cstheme="minorHAnsi"/>
                <w:sz w:val="20"/>
                <w:szCs w:val="20"/>
              </w:rPr>
            </w:pPr>
          </w:p>
        </w:tc>
      </w:tr>
      <w:tr w:rsidR="00337CBD" w:rsidRPr="008E51FF" w14:paraId="55141C72" w14:textId="77777777" w:rsidTr="0067126E">
        <w:trPr>
          <w:trHeight w:val="234"/>
          <w:jc w:val="center"/>
        </w:trPr>
        <w:tc>
          <w:tcPr>
            <w:tcW w:w="1612"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1859F049" w14:textId="77777777" w:rsidR="00337CBD" w:rsidRPr="008E51FF" w:rsidRDefault="00337CBD" w:rsidP="00D84191">
            <w:pPr>
              <w:spacing w:after="0"/>
              <w:rPr>
                <w:rFonts w:cstheme="minorHAnsi"/>
                <w:b/>
                <w:sz w:val="20"/>
                <w:szCs w:val="20"/>
              </w:rPr>
            </w:pPr>
            <w:r w:rsidRPr="008E51FF">
              <w:rPr>
                <w:rFonts w:cstheme="minorHAnsi"/>
                <w:b/>
                <w:sz w:val="20"/>
                <w:szCs w:val="20"/>
              </w:rPr>
              <w:t xml:space="preserve">Purpose </w:t>
            </w:r>
          </w:p>
        </w:tc>
        <w:tc>
          <w:tcPr>
            <w:tcW w:w="1767" w:type="pct"/>
            <w:tcBorders>
              <w:top w:val="single" w:sz="4" w:space="0" w:color="auto"/>
              <w:left w:val="single" w:sz="4" w:space="0" w:color="auto"/>
              <w:bottom w:val="single" w:sz="4" w:space="0" w:color="auto"/>
              <w:right w:val="single" w:sz="4" w:space="0" w:color="auto"/>
            </w:tcBorders>
            <w:vAlign w:val="center"/>
          </w:tcPr>
          <w:p w14:paraId="4D63D5CB" w14:textId="77777777" w:rsidR="00337CBD" w:rsidRPr="004A179F" w:rsidRDefault="00337CBD" w:rsidP="00D84191">
            <w:pPr>
              <w:spacing w:after="0" w:line="240" w:lineRule="auto"/>
              <w:rPr>
                <w:rFonts w:cstheme="minorHAnsi"/>
                <w:color w:val="0D0D0D"/>
                <w:sz w:val="20"/>
                <w:szCs w:val="20"/>
              </w:rPr>
            </w:pPr>
            <w:r w:rsidRPr="004A179F">
              <w:rPr>
                <w:rFonts w:cstheme="minorHAnsi"/>
                <w:color w:val="0D0D0D"/>
                <w:sz w:val="20"/>
                <w:szCs w:val="20"/>
              </w:rPr>
              <w:t>Operatsion xarajatlar</w:t>
            </w:r>
          </w:p>
        </w:tc>
        <w:tc>
          <w:tcPr>
            <w:tcW w:w="1060" w:type="pct"/>
            <w:tcBorders>
              <w:top w:val="single" w:sz="4" w:space="0" w:color="auto"/>
              <w:left w:val="single" w:sz="4" w:space="0" w:color="auto"/>
              <w:bottom w:val="single" w:sz="4" w:space="0" w:color="auto"/>
              <w:right w:val="single" w:sz="4" w:space="0" w:color="auto"/>
            </w:tcBorders>
            <w:shd w:val="clear" w:color="auto" w:fill="92D050"/>
            <w:vAlign w:val="center"/>
          </w:tcPr>
          <w:p w14:paraId="0A0DAC35" w14:textId="77777777" w:rsidR="00337CBD" w:rsidRPr="008E51FF" w:rsidRDefault="00337CBD" w:rsidP="00D84191">
            <w:pPr>
              <w:tabs>
                <w:tab w:val="left" w:pos="249"/>
              </w:tabs>
              <w:spacing w:after="0"/>
              <w:rPr>
                <w:rFonts w:cstheme="minorHAnsi"/>
                <w:b/>
                <w:sz w:val="20"/>
                <w:szCs w:val="20"/>
              </w:rPr>
            </w:pPr>
            <w:r w:rsidRPr="008E51FF">
              <w:rPr>
                <w:rFonts w:cstheme="minorHAnsi"/>
                <w:b/>
                <w:sz w:val="20"/>
                <w:szCs w:val="20"/>
              </w:rPr>
              <w:t>Repayment Schedule</w:t>
            </w:r>
          </w:p>
        </w:tc>
        <w:tc>
          <w:tcPr>
            <w:tcW w:w="1599" w:type="pct"/>
            <w:tcBorders>
              <w:top w:val="single" w:sz="4" w:space="0" w:color="auto"/>
              <w:left w:val="single" w:sz="4" w:space="0" w:color="auto"/>
              <w:bottom w:val="single" w:sz="4" w:space="0" w:color="auto"/>
              <w:right w:val="single" w:sz="4" w:space="0" w:color="auto"/>
            </w:tcBorders>
          </w:tcPr>
          <w:p w14:paraId="49943077" w14:textId="77777777" w:rsidR="00337CBD" w:rsidRPr="008E51FF" w:rsidRDefault="00337CBD" w:rsidP="00D84191">
            <w:pPr>
              <w:tabs>
                <w:tab w:val="left" w:pos="249"/>
              </w:tabs>
              <w:spacing w:after="0"/>
              <w:rPr>
                <w:rFonts w:cstheme="minorHAnsi"/>
                <w:sz w:val="20"/>
                <w:szCs w:val="20"/>
              </w:rPr>
            </w:pPr>
            <w:r w:rsidRPr="008E51FF">
              <w:rPr>
                <w:rFonts w:cstheme="minorHAnsi"/>
                <w:sz w:val="20"/>
                <w:szCs w:val="20"/>
              </w:rPr>
              <w:t>'Conglomerate solutions' MCHJga tegishli ko‘chmas mulk garovi</w:t>
            </w:r>
          </w:p>
        </w:tc>
      </w:tr>
      <w:tr w:rsidR="00337CBD" w:rsidRPr="008E51FF" w14:paraId="0E9E7E99" w14:textId="77777777" w:rsidTr="0067126E">
        <w:trPr>
          <w:trHeight w:val="385"/>
          <w:jc w:val="center"/>
        </w:trPr>
        <w:tc>
          <w:tcPr>
            <w:tcW w:w="1612"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7F942BBC" w14:textId="77777777" w:rsidR="00337CBD" w:rsidRPr="008E51FF" w:rsidRDefault="00337CBD" w:rsidP="00D84191">
            <w:pPr>
              <w:spacing w:after="0"/>
              <w:rPr>
                <w:rFonts w:cstheme="minorHAnsi"/>
                <w:b/>
                <w:sz w:val="20"/>
                <w:szCs w:val="20"/>
              </w:rPr>
            </w:pPr>
            <w:r w:rsidRPr="008E51FF">
              <w:rPr>
                <w:rFonts w:cstheme="minorHAnsi"/>
                <w:b/>
                <w:sz w:val="20"/>
                <w:szCs w:val="20"/>
              </w:rPr>
              <w:t xml:space="preserve">Currency </w:t>
            </w:r>
          </w:p>
        </w:tc>
        <w:tc>
          <w:tcPr>
            <w:tcW w:w="1767" w:type="pct"/>
            <w:tcBorders>
              <w:top w:val="single" w:sz="4" w:space="0" w:color="auto"/>
              <w:left w:val="single" w:sz="4" w:space="0" w:color="auto"/>
              <w:bottom w:val="single" w:sz="4" w:space="0" w:color="auto"/>
              <w:right w:val="single" w:sz="4" w:space="0" w:color="auto"/>
            </w:tcBorders>
            <w:vAlign w:val="center"/>
          </w:tcPr>
          <w:p w14:paraId="725EC1D5" w14:textId="77777777" w:rsidR="00337CBD" w:rsidRPr="008E51FF" w:rsidRDefault="00337CBD" w:rsidP="00D84191">
            <w:pPr>
              <w:spacing w:after="0" w:line="240" w:lineRule="auto"/>
              <w:rPr>
                <w:rFonts w:cstheme="minorHAnsi"/>
                <w:color w:val="0D0D0D"/>
                <w:sz w:val="20"/>
                <w:szCs w:val="20"/>
              </w:rPr>
            </w:pPr>
            <w:r w:rsidRPr="008E51FF">
              <w:rPr>
                <w:rFonts w:cstheme="minorHAnsi"/>
                <w:color w:val="0D0D0D"/>
                <w:sz w:val="20"/>
                <w:szCs w:val="20"/>
              </w:rPr>
              <w:t>USD</w:t>
            </w:r>
          </w:p>
        </w:tc>
        <w:tc>
          <w:tcPr>
            <w:tcW w:w="1060" w:type="pct"/>
            <w:vMerge w:val="restart"/>
            <w:tcBorders>
              <w:top w:val="single" w:sz="4" w:space="0" w:color="auto"/>
              <w:left w:val="single" w:sz="4" w:space="0" w:color="auto"/>
              <w:right w:val="single" w:sz="4" w:space="0" w:color="auto"/>
            </w:tcBorders>
            <w:shd w:val="clear" w:color="auto" w:fill="92D050"/>
            <w:vAlign w:val="center"/>
          </w:tcPr>
          <w:p w14:paraId="383EF001" w14:textId="77777777" w:rsidR="00337CBD" w:rsidRPr="008E51FF" w:rsidRDefault="00337CBD" w:rsidP="00D84191">
            <w:pPr>
              <w:pStyle w:val="ListParagraph"/>
              <w:ind w:left="0"/>
              <w:rPr>
                <w:rFonts w:asciiTheme="minorHAnsi" w:eastAsiaTheme="minorHAnsi" w:hAnsiTheme="minorHAnsi" w:cstheme="minorHAnsi"/>
                <w:b/>
                <w:sz w:val="20"/>
                <w:szCs w:val="20"/>
                <w:lang w:val="en-US" w:eastAsia="en-US"/>
              </w:rPr>
            </w:pPr>
            <w:r w:rsidRPr="008E51FF">
              <w:rPr>
                <w:rFonts w:asciiTheme="minorHAnsi" w:eastAsiaTheme="minorHAnsi" w:hAnsiTheme="minorHAnsi" w:cstheme="minorHAnsi"/>
                <w:b/>
                <w:sz w:val="20"/>
                <w:szCs w:val="20"/>
                <w:lang w:val="en-US" w:eastAsia="en-US"/>
              </w:rPr>
              <w:t>Collateral/Security</w:t>
            </w:r>
          </w:p>
        </w:tc>
        <w:tc>
          <w:tcPr>
            <w:tcW w:w="1599" w:type="pct"/>
            <w:vMerge w:val="restart"/>
            <w:tcBorders>
              <w:top w:val="single" w:sz="4" w:space="0" w:color="auto"/>
              <w:left w:val="single" w:sz="4" w:space="0" w:color="auto"/>
              <w:right w:val="single" w:sz="4" w:space="0" w:color="auto"/>
            </w:tcBorders>
          </w:tcPr>
          <w:p w14:paraId="618A384B" w14:textId="77777777" w:rsidR="00337CBD" w:rsidRPr="008E51FF" w:rsidRDefault="00337CBD" w:rsidP="00D84191">
            <w:pPr>
              <w:pStyle w:val="ListParagraph"/>
              <w:ind w:left="0"/>
              <w:jc w:val="both"/>
              <w:rPr>
                <w:rFonts w:asciiTheme="minorHAnsi" w:eastAsiaTheme="minorHAnsi" w:hAnsiTheme="minorHAnsi" w:cstheme="minorHAnsi"/>
                <w:sz w:val="20"/>
                <w:szCs w:val="20"/>
                <w:lang w:val="en-US" w:eastAsia="en-US"/>
              </w:rPr>
            </w:pPr>
            <w:r>
              <w:t>—</w:t>
            </w:r>
          </w:p>
        </w:tc>
      </w:tr>
      <w:tr w:rsidR="00337CBD" w:rsidRPr="008E51FF" w14:paraId="61410E01" w14:textId="77777777" w:rsidTr="0067126E">
        <w:trPr>
          <w:trHeight w:val="385"/>
          <w:jc w:val="center"/>
        </w:trPr>
        <w:tc>
          <w:tcPr>
            <w:tcW w:w="1612" w:type="pct"/>
            <w:tcBorders>
              <w:top w:val="single" w:sz="4" w:space="0" w:color="auto"/>
              <w:left w:val="single" w:sz="4" w:space="0" w:color="auto"/>
              <w:bottom w:val="single" w:sz="4" w:space="0" w:color="auto"/>
              <w:right w:val="single" w:sz="4" w:space="0" w:color="auto"/>
            </w:tcBorders>
            <w:shd w:val="clear" w:color="auto" w:fill="92D050"/>
            <w:vAlign w:val="center"/>
          </w:tcPr>
          <w:p w14:paraId="716B75E4" w14:textId="77777777" w:rsidR="00337CBD" w:rsidRPr="008E51FF" w:rsidRDefault="00337CBD" w:rsidP="00D84191">
            <w:pPr>
              <w:spacing w:after="0"/>
              <w:rPr>
                <w:rFonts w:cstheme="minorHAnsi"/>
                <w:b/>
                <w:sz w:val="20"/>
                <w:szCs w:val="20"/>
              </w:rPr>
            </w:pPr>
            <w:r w:rsidRPr="008E51FF">
              <w:rPr>
                <w:rFonts w:cstheme="minorHAnsi"/>
                <w:b/>
                <w:sz w:val="20"/>
                <w:szCs w:val="20"/>
              </w:rPr>
              <w:t>Interest rate</w:t>
            </w:r>
          </w:p>
        </w:tc>
        <w:tc>
          <w:tcPr>
            <w:tcW w:w="1767" w:type="pct"/>
            <w:tcBorders>
              <w:top w:val="single" w:sz="4" w:space="0" w:color="auto"/>
              <w:left w:val="single" w:sz="4" w:space="0" w:color="auto"/>
              <w:bottom w:val="single" w:sz="4" w:space="0" w:color="auto"/>
              <w:right w:val="single" w:sz="4" w:space="0" w:color="auto"/>
            </w:tcBorders>
            <w:vAlign w:val="center"/>
          </w:tcPr>
          <w:p w14:paraId="4296A284" w14:textId="77777777" w:rsidR="00337CBD" w:rsidRPr="008E51FF" w:rsidRDefault="00337CBD" w:rsidP="00D84191">
            <w:pPr>
              <w:spacing w:after="0" w:line="240" w:lineRule="auto"/>
              <w:rPr>
                <w:rFonts w:cstheme="minorHAnsi"/>
                <w:color w:val="0D0D0D"/>
                <w:sz w:val="20"/>
                <w:szCs w:val="20"/>
              </w:rPr>
            </w:pPr>
            <w:r w:rsidRPr="008E51FF">
              <w:rPr>
                <w:rFonts w:cstheme="minorHAnsi"/>
                <w:color w:val="0D0D0D"/>
                <w:sz w:val="20"/>
                <w:szCs w:val="20"/>
              </w:rPr>
              <w:t>10</w:t>
            </w:r>
          </w:p>
        </w:tc>
        <w:tc>
          <w:tcPr>
            <w:tcW w:w="1060" w:type="pct"/>
            <w:vMerge/>
            <w:tcBorders>
              <w:left w:val="single" w:sz="4" w:space="0" w:color="auto"/>
              <w:bottom w:val="single" w:sz="4" w:space="0" w:color="auto"/>
              <w:right w:val="single" w:sz="4" w:space="0" w:color="auto"/>
            </w:tcBorders>
            <w:shd w:val="clear" w:color="auto" w:fill="92D050"/>
            <w:vAlign w:val="center"/>
          </w:tcPr>
          <w:p w14:paraId="27E57101" w14:textId="77777777" w:rsidR="00337CBD" w:rsidRPr="008E51FF" w:rsidRDefault="00337CBD" w:rsidP="00D84191">
            <w:pPr>
              <w:pStyle w:val="ListParagraph"/>
              <w:ind w:left="0"/>
              <w:rPr>
                <w:rFonts w:asciiTheme="minorHAnsi" w:eastAsiaTheme="minorHAnsi" w:hAnsiTheme="minorHAnsi" w:cstheme="minorHAnsi"/>
                <w:b/>
                <w:sz w:val="20"/>
                <w:szCs w:val="20"/>
                <w:lang w:val="en-US" w:eastAsia="en-US"/>
              </w:rPr>
            </w:pPr>
          </w:p>
        </w:tc>
        <w:tc>
          <w:tcPr>
            <w:tcW w:w="1599" w:type="pct"/>
            <w:vMerge/>
            <w:tcBorders>
              <w:left w:val="single" w:sz="4" w:space="0" w:color="auto"/>
              <w:bottom w:val="single" w:sz="4" w:space="0" w:color="auto"/>
              <w:right w:val="single" w:sz="4" w:space="0" w:color="auto"/>
            </w:tcBorders>
          </w:tcPr>
          <w:p w14:paraId="282CFF0B" w14:textId="77777777" w:rsidR="00337CBD" w:rsidRPr="008E51FF" w:rsidRDefault="00337CBD" w:rsidP="00D84191">
            <w:pPr>
              <w:pStyle w:val="ListParagraph"/>
              <w:ind w:left="0"/>
              <w:jc w:val="both"/>
              <w:rPr>
                <w:rFonts w:asciiTheme="minorHAnsi" w:eastAsiaTheme="minorHAnsi" w:hAnsiTheme="minorHAnsi" w:cstheme="minorHAnsi"/>
                <w:sz w:val="20"/>
                <w:szCs w:val="20"/>
                <w:lang w:val="en-US" w:eastAsia="en-US"/>
              </w:rPr>
            </w:pPr>
          </w:p>
        </w:tc>
      </w:tr>
      <w:tr w:rsidR="00337CBD" w:rsidRPr="008E51FF" w14:paraId="20A5B522" w14:textId="77777777" w:rsidTr="0067126E">
        <w:trPr>
          <w:trHeight w:val="376"/>
          <w:jc w:val="center"/>
        </w:trPr>
        <w:tc>
          <w:tcPr>
            <w:tcW w:w="1612" w:type="pct"/>
            <w:tcBorders>
              <w:top w:val="single" w:sz="4" w:space="0" w:color="auto"/>
              <w:left w:val="single" w:sz="4" w:space="0" w:color="auto"/>
              <w:bottom w:val="single" w:sz="4" w:space="0" w:color="auto"/>
              <w:right w:val="single" w:sz="4" w:space="0" w:color="auto"/>
            </w:tcBorders>
            <w:shd w:val="clear" w:color="auto" w:fill="92D050"/>
            <w:vAlign w:val="center"/>
          </w:tcPr>
          <w:p w14:paraId="17C3215F" w14:textId="77777777" w:rsidR="00337CBD" w:rsidRPr="008E51FF" w:rsidRDefault="00337CBD" w:rsidP="00D84191">
            <w:pPr>
              <w:spacing w:after="0"/>
              <w:rPr>
                <w:rFonts w:cstheme="minorHAnsi"/>
                <w:b/>
                <w:sz w:val="20"/>
                <w:szCs w:val="20"/>
              </w:rPr>
            </w:pPr>
            <w:r w:rsidRPr="008E51FF">
              <w:rPr>
                <w:rFonts w:cstheme="minorHAnsi"/>
                <w:b/>
                <w:sz w:val="20"/>
                <w:szCs w:val="20"/>
              </w:rPr>
              <w:t>Term</w:t>
            </w:r>
          </w:p>
        </w:tc>
        <w:tc>
          <w:tcPr>
            <w:tcW w:w="1767" w:type="pct"/>
            <w:tcBorders>
              <w:top w:val="single" w:sz="4" w:space="0" w:color="auto"/>
              <w:left w:val="single" w:sz="4" w:space="0" w:color="auto"/>
              <w:bottom w:val="single" w:sz="4" w:space="0" w:color="auto"/>
              <w:right w:val="single" w:sz="4" w:space="0" w:color="auto"/>
            </w:tcBorders>
            <w:vAlign w:val="center"/>
          </w:tcPr>
          <w:p w14:paraId="33E3E74B" w14:textId="77777777" w:rsidR="00337CBD" w:rsidRPr="008E51FF" w:rsidRDefault="00337CBD" w:rsidP="00D84191">
            <w:pPr>
              <w:spacing w:after="0" w:line="240" w:lineRule="auto"/>
              <w:rPr>
                <w:rFonts w:cstheme="minorHAnsi"/>
                <w:color w:val="0D0D0D"/>
                <w:sz w:val="20"/>
                <w:szCs w:val="20"/>
              </w:rPr>
            </w:pPr>
            <w:r w:rsidRPr="008E51FF">
              <w:rPr>
                <w:rFonts w:cstheme="minorHAnsi"/>
                <w:color w:val="0D0D0D"/>
                <w:sz w:val="20"/>
                <w:szCs w:val="20"/>
              </w:rPr>
              <w:t>36</w:t>
            </w:r>
          </w:p>
        </w:tc>
        <w:tc>
          <w:tcPr>
            <w:tcW w:w="1060" w:type="pct"/>
            <w:tcBorders>
              <w:top w:val="single" w:sz="4" w:space="0" w:color="auto"/>
              <w:left w:val="single" w:sz="4" w:space="0" w:color="auto"/>
              <w:bottom w:val="single" w:sz="4" w:space="0" w:color="auto"/>
              <w:right w:val="single" w:sz="4" w:space="0" w:color="auto"/>
            </w:tcBorders>
            <w:shd w:val="clear" w:color="auto" w:fill="92D050"/>
            <w:vAlign w:val="center"/>
          </w:tcPr>
          <w:p w14:paraId="492D0169" w14:textId="77777777" w:rsidR="00337CBD" w:rsidRPr="00BE1026" w:rsidRDefault="00337CBD" w:rsidP="00D84191">
            <w:pPr>
              <w:pStyle w:val="ListParagraph"/>
              <w:ind w:left="0"/>
              <w:rPr>
                <w:rFonts w:asciiTheme="minorHAnsi" w:hAnsiTheme="minorHAnsi" w:cstheme="minorHAnsi"/>
                <w:iCs/>
                <w:lang w:val="ru-RU"/>
              </w:rPr>
            </w:pPr>
            <w:r w:rsidRPr="008E51FF">
              <w:rPr>
                <w:rFonts w:asciiTheme="minorHAnsi" w:eastAsiaTheme="minorHAnsi" w:hAnsiTheme="minorHAnsi" w:cstheme="minorHAnsi"/>
                <w:b/>
                <w:sz w:val="20"/>
                <w:szCs w:val="20"/>
                <w:lang w:val="en-US" w:eastAsia="en-US"/>
              </w:rPr>
              <w:t>Grace period</w:t>
            </w:r>
          </w:p>
        </w:tc>
        <w:tc>
          <w:tcPr>
            <w:tcW w:w="1599" w:type="pct"/>
            <w:tcBorders>
              <w:top w:val="single" w:sz="4" w:space="0" w:color="auto"/>
              <w:left w:val="single" w:sz="4" w:space="0" w:color="auto"/>
              <w:bottom w:val="single" w:sz="4" w:space="0" w:color="auto"/>
              <w:right w:val="single" w:sz="4" w:space="0" w:color="auto"/>
            </w:tcBorders>
          </w:tcPr>
          <w:p w14:paraId="5E9BF8D4" w14:textId="77777777" w:rsidR="00337CBD" w:rsidRPr="008E51FF" w:rsidRDefault="00337CBD" w:rsidP="00D84191">
            <w:pPr>
              <w:pStyle w:val="ListParagraph"/>
              <w:ind w:left="0"/>
              <w:jc w:val="both"/>
              <w:rPr>
                <w:rFonts w:asciiTheme="minorHAnsi" w:eastAsiaTheme="minorHAnsi" w:hAnsiTheme="minorHAnsi" w:cstheme="minorHAnsi"/>
                <w:sz w:val="20"/>
                <w:szCs w:val="20"/>
                <w:lang w:val="en-US" w:eastAsia="en-US"/>
              </w:rPr>
            </w:pPr>
            <w:r w:rsidRPr="008E51FF">
              <w:rPr>
                <w:rFonts w:asciiTheme="minorHAnsi" w:hAnsiTheme="minorHAnsi" w:cstheme="minorHAnsi"/>
                <w:color w:val="0D0D0D"/>
                <w:sz w:val="20"/>
                <w:szCs w:val="20"/>
                <w:lang w:val="en-US"/>
              </w:rPr>
              <w:t>0</w:t>
            </w:r>
          </w:p>
        </w:tc>
      </w:tr>
      <w:tr w:rsidR="00337CBD" w:rsidRPr="008E51FF" w14:paraId="2BB90EE7" w14:textId="77777777" w:rsidTr="0067126E">
        <w:trPr>
          <w:trHeight w:val="376"/>
          <w:jc w:val="center"/>
        </w:trPr>
        <w:tc>
          <w:tcPr>
            <w:tcW w:w="1612" w:type="pct"/>
            <w:tcBorders>
              <w:top w:val="single" w:sz="4" w:space="0" w:color="auto"/>
              <w:left w:val="single" w:sz="4" w:space="0" w:color="auto"/>
              <w:bottom w:val="single" w:sz="4" w:space="0" w:color="auto"/>
              <w:right w:val="single" w:sz="4" w:space="0" w:color="auto"/>
            </w:tcBorders>
            <w:shd w:val="clear" w:color="auto" w:fill="92D050"/>
            <w:vAlign w:val="center"/>
          </w:tcPr>
          <w:p w14:paraId="1022A435" w14:textId="77777777" w:rsidR="00337CBD" w:rsidRPr="008E51FF" w:rsidRDefault="00337CBD" w:rsidP="00D84191">
            <w:pPr>
              <w:spacing w:after="0"/>
              <w:rPr>
                <w:rFonts w:cstheme="minorHAnsi"/>
                <w:b/>
                <w:sz w:val="20"/>
                <w:szCs w:val="20"/>
              </w:rPr>
            </w:pPr>
            <w:r w:rsidRPr="008E51FF">
              <w:rPr>
                <w:rFonts w:cstheme="minorHAnsi"/>
                <w:b/>
                <w:sz w:val="20"/>
                <w:szCs w:val="20"/>
              </w:rPr>
              <w:t xml:space="preserve">Approval Authority </w:t>
            </w:r>
          </w:p>
        </w:tc>
        <w:tc>
          <w:tcPr>
            <w:tcW w:w="1767"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cstheme="minorHAnsi"/>
                <w:color w:val="0D0D0D"/>
                <w:sz w:val="20"/>
                <w:szCs w:val="20"/>
              </w:rPr>
              <w:id w:val="81721300"/>
              <w:lock w:val="sdtLocked"/>
              <w:placeholder>
                <w:docPart w:val="3CBC871ECF0A478589BF88CF30710186"/>
              </w:placeholder>
              <w:showingPlcHdr/>
              <w:dropDownList>
                <w:listItem w:displayText="Credit Committee" w:value="Credit Committee"/>
                <w:listItem w:displayText="Management Board" w:value="Management Board"/>
                <w:listItem w:displayText="Supervisory Board" w:value="Supervisory Board"/>
              </w:dropDownList>
            </w:sdtPr>
            <w:sdtContent>
              <w:p w14:paraId="1C024A57" w14:textId="6016BC73" w:rsidR="00337CBD" w:rsidRPr="008E51FF" w:rsidRDefault="0031123B" w:rsidP="00D84191">
                <w:pPr>
                  <w:spacing w:after="0" w:line="240" w:lineRule="auto"/>
                  <w:rPr>
                    <w:rFonts w:cstheme="minorHAnsi"/>
                    <w:color w:val="0D0D0D"/>
                    <w:sz w:val="20"/>
                    <w:szCs w:val="20"/>
                  </w:rPr>
                </w:pPr>
                <w:r w:rsidRPr="00E928F2">
                  <w:rPr>
                    <w:rStyle w:val="PlaceholderText"/>
                  </w:rPr>
                  <w:t>Choose an item.</w:t>
                </w:r>
              </w:p>
            </w:sdtContent>
          </w:sdt>
        </w:tc>
        <w:tc>
          <w:tcPr>
            <w:tcW w:w="1060" w:type="pct"/>
            <w:tcBorders>
              <w:top w:val="single" w:sz="4" w:space="0" w:color="auto"/>
              <w:left w:val="single" w:sz="4" w:space="0" w:color="auto"/>
              <w:bottom w:val="single" w:sz="4" w:space="0" w:color="auto"/>
              <w:right w:val="single" w:sz="4" w:space="0" w:color="auto"/>
            </w:tcBorders>
            <w:shd w:val="clear" w:color="auto" w:fill="92D050"/>
            <w:vAlign w:val="center"/>
          </w:tcPr>
          <w:p w14:paraId="1EEAB137" w14:textId="646CAC28" w:rsidR="00337CBD" w:rsidRPr="008E51FF" w:rsidRDefault="00337CBD" w:rsidP="00D84191">
            <w:pPr>
              <w:pStyle w:val="ListParagraph"/>
              <w:ind w:left="0"/>
              <w:rPr>
                <w:rFonts w:asciiTheme="minorHAnsi" w:eastAsiaTheme="minorHAnsi" w:hAnsiTheme="minorHAnsi" w:cstheme="minorHAnsi"/>
                <w:b/>
                <w:sz w:val="20"/>
                <w:szCs w:val="20"/>
                <w:lang w:val="en-US" w:eastAsia="en-US"/>
              </w:rPr>
            </w:pPr>
            <w:r w:rsidRPr="008E51FF">
              <w:rPr>
                <w:rFonts w:asciiTheme="minorHAnsi" w:eastAsiaTheme="minorHAnsi" w:hAnsiTheme="minorHAnsi" w:cstheme="minorHAnsi"/>
                <w:b/>
                <w:sz w:val="20"/>
                <w:szCs w:val="20"/>
                <w:lang w:val="en-US" w:eastAsia="en-US"/>
              </w:rPr>
              <w:t xml:space="preserve">HQ Consent </w:t>
            </w:r>
          </w:p>
        </w:tc>
        <w:tc>
          <w:tcPr>
            <w:tcW w:w="1599"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heme="minorHAnsi" w:hAnsiTheme="minorHAnsi" w:cstheme="minorHAnsi"/>
                <w:color w:val="0D0D0D"/>
                <w:sz w:val="20"/>
                <w:szCs w:val="20"/>
                <w:lang w:val="en-US"/>
              </w:rPr>
              <w:id w:val="-1629627019"/>
              <w:lock w:val="sdtLocked"/>
              <w:placeholder>
                <w:docPart w:val="DefaultPlaceholder_-1854013438"/>
              </w:placeholder>
              <w:dropDownList>
                <w:listItem w:displayText="Required" w:value="Required"/>
                <w:listItem w:displayText="Not required" w:value="Not required"/>
              </w:dropDownList>
            </w:sdtPr>
            <w:sdtContent>
              <w:p w14:paraId="2C9D5B01" w14:textId="54FA6119" w:rsidR="00337CBD" w:rsidRPr="008E51FF" w:rsidRDefault="0031123B" w:rsidP="00D84191">
                <w:pPr>
                  <w:pStyle w:val="ListParagraph"/>
                  <w:ind w:left="0"/>
                  <w:rPr>
                    <w:rFonts w:asciiTheme="minorHAnsi" w:hAnsiTheme="minorHAnsi" w:cstheme="minorHAnsi"/>
                    <w:color w:val="0D0D0D"/>
                    <w:sz w:val="20"/>
                    <w:szCs w:val="20"/>
                    <w:lang w:val="en-US"/>
                  </w:rPr>
                </w:pPr>
                <w:r>
                  <w:rPr>
                    <w:rFonts w:asciiTheme="minorHAnsi" w:hAnsiTheme="minorHAnsi" w:cstheme="minorHAnsi"/>
                    <w:color w:val="0D0D0D"/>
                    <w:sz w:val="20"/>
                    <w:szCs w:val="20"/>
                    <w:lang w:val="en-US"/>
                  </w:rPr>
                  <w:t>Not required</w:t>
                </w:r>
              </w:p>
            </w:sdtContent>
          </w:sdt>
        </w:tc>
      </w:tr>
    </w:tbl>
    <w:p w14:paraId="47B6BB45" w14:textId="77777777" w:rsidR="00337CBD" w:rsidRDefault="00337CBD" w:rsidP="00A3412D">
      <w:pPr>
        <w:jc w:val="both"/>
        <w:rPr>
          <w:rFonts w:eastAsia="MS Mincho" w:cstheme="minorHAnsi"/>
          <w:b/>
          <w:sz w:val="24"/>
          <w:szCs w:val="24"/>
          <w:lang w:val="en-GB" w:eastAsia="ja-JP"/>
        </w:rPr>
      </w:pPr>
    </w:p>
    <w:tbl>
      <w:tblPr>
        <w:tblStyle w:val="TableGrid"/>
        <w:tblW w:w="13005" w:type="dxa"/>
        <w:tblInd w:w="-1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3005"/>
      </w:tblGrid>
      <w:tr w:rsidR="00DF19E9" w:rsidRPr="00B527E0" w14:paraId="5632FD08" w14:textId="77777777" w:rsidTr="00660B1B">
        <w:trPr>
          <w:trHeight w:val="361"/>
        </w:trPr>
        <w:tc>
          <w:tcPr>
            <w:tcW w:w="13005" w:type="dxa"/>
            <w:shd w:val="clear" w:color="auto" w:fill="92D050"/>
            <w:vAlign w:val="center"/>
          </w:tcPr>
          <w:p w14:paraId="2EA39FB7" w14:textId="55C5D5A3" w:rsidR="00DF19E9" w:rsidRPr="00044FB7" w:rsidRDefault="00DF19E9" w:rsidP="00660B1B">
            <w:pPr>
              <w:pStyle w:val="Subtitle"/>
              <w:numPr>
                <w:ilvl w:val="0"/>
                <w:numId w:val="3"/>
              </w:numPr>
              <w:spacing w:line="276" w:lineRule="auto"/>
              <w:ind w:left="0"/>
              <w:jc w:val="left"/>
              <w:rPr>
                <w:rFonts w:asciiTheme="minorHAnsi" w:hAnsiTheme="minorHAnsi" w:cstheme="minorHAnsi"/>
                <w:b w:val="0"/>
                <w:bCs w:val="0"/>
                <w:sz w:val="24"/>
                <w:szCs w:val="24"/>
                <w:lang w:val="en-GB"/>
              </w:rPr>
            </w:pPr>
            <w:r>
              <w:rPr>
                <w:rFonts w:asciiTheme="minorHAnsi" w:hAnsiTheme="minorHAnsi" w:cstheme="minorHAnsi"/>
                <w:bCs w:val="0"/>
                <w:sz w:val="24"/>
                <w:szCs w:val="24"/>
                <w:lang w:val="en-GB"/>
              </w:rPr>
              <w:t xml:space="preserve">I </w:t>
            </w:r>
            <w:r w:rsidR="00C4612E">
              <w:rPr>
                <w:rFonts w:asciiTheme="minorHAnsi" w:hAnsiTheme="minorHAnsi" w:cstheme="minorHAnsi"/>
                <w:bCs w:val="0"/>
                <w:sz w:val="24"/>
                <w:szCs w:val="24"/>
                <w:lang w:val="en-GB"/>
              </w:rPr>
              <w:t xml:space="preserve">EXECUTIVE SUMMARY ON CLIENT’S </w:t>
            </w:r>
            <w:r w:rsidR="00C4612E">
              <w:rPr>
                <w:rFonts w:asciiTheme="minorHAnsi" w:hAnsiTheme="minorHAnsi" w:cstheme="minorHAnsi"/>
                <w:bCs w:val="0"/>
                <w:sz w:val="24"/>
                <w:szCs w:val="24"/>
                <w:lang w:val="en-US"/>
              </w:rPr>
              <w:t xml:space="preserve">VERIFICATION </w:t>
            </w:r>
          </w:p>
        </w:tc>
      </w:tr>
    </w:tbl>
    <w:p w14:paraId="796A12A8" w14:textId="77777777" w:rsidR="008A12BD" w:rsidRPr="00E66D67" w:rsidRDefault="00A3412D" w:rsidP="00AB006D">
      <w:pPr>
        <w:spacing w:before="240" w:after="0"/>
        <w:jc w:val="both"/>
        <w:rPr>
          <w:rFonts w:ascii="Calibri" w:hAnsi="Calibri" w:cstheme="minorHAnsi"/>
          <w:i/>
          <w:sz w:val="20"/>
          <w:szCs w:val="20"/>
        </w:rPr>
      </w:pPr>
      <w:r w:rsidRPr="00E66D67">
        <w:rPr>
          <w:rFonts w:ascii="Calibri" w:hAnsi="Calibri" w:cstheme="minorHAnsi"/>
          <w:i/>
          <w:sz w:val="20"/>
          <w:szCs w:val="20"/>
        </w:rPr>
        <w:t>OOO "PRODUCTS WATER" 2021-yildan beri Ipoteka Bank bilan hamkorlik aloqalarini saqlab kelmoqda, dastlab Toshkent viloyat filiali orqali xizmat ko‘rsatilgan. Mijoz 2024-yil oktabrigacha Ipoteka Bank boshqaruvida bo‘lgan, shundan so‘ng xizmat ko‘rsatish Milliy Bankka o‘tkazilgan. Ipoteka Bank bilan hamkorlik davrida kompaniya muhim mijoz sifatida tan olingan, ijobiy kredit tarixiga va oyiga 12,0 milliard so‘mdan ortiq barqaror aylanmaga ega bo‘lgan.</w:t>
      </w:r>
      <w:r w:rsidR="009C2A93" w:rsidRPr="00E66D67">
        <w:rPr>
          <w:rFonts w:ascii="Calibri" w:hAnsi="Calibri" w:cstheme="minorHAnsi"/>
          <w:i/>
          <w:sz w:val="20"/>
          <w:szCs w:val="20"/>
        </w:rPr>
      </w:r>
      <w:r w:rsidRPr="00E66D67">
        <w:rPr>
          <w:rFonts w:ascii="Calibri" w:hAnsi="Calibri" w:cstheme="minorHAnsi"/>
          <w:i/>
          <w:sz w:val="20"/>
          <w:szCs w:val="20"/>
        </w:rPr>
      </w:r>
    </w:p>
    <w:p>
      <w:r>
        <w:t>Asosiy bank aloqalari kredit liniyalarini taqdim etishni o‘z ichiga olgan. 2025-yil 12-dekabr holatiga ko‘ra, OOO "PRODUCTS WATER" uchun tavsiya etilgan va so‘ralgan kredit limiti 1 000 000 AQSh dollarini tashkil etgan, umumiy guruh limiti esa 1 200 000 AQSh dollarigacha yetgan. So‘ralgan kredit liniyasining asosiy maqsadi aylanma mablag‘larni moliyalashtirish bo‘lgan. Kompaniyaning Ipoteka Bank bilan hamkorligi barqaror hamkorlik va majburiyatlarni o‘z vaqtida bajarish tarixi bilan ajralib turadi, bu esa hozirgi kredit tavsiyasining asosini tashkil etadi.</w:t>
      </w:r>
    </w:p>
    <w:p w14:paraId="70DC83C1" w14:textId="247AF788" w:rsidR="008A12BD" w:rsidRPr="00611E94" w:rsidRDefault="001D5643" w:rsidP="00AB006D">
      <w:pPr>
        <w:spacing w:after="0"/>
        <w:jc w:val="both"/>
        <w:rPr>
          <w:rFonts w:ascii="Calibri" w:hAnsi="Calibri" w:cstheme="minorHAnsi"/>
          <w:b/>
          <w:bCs/>
          <w:i/>
          <w:sz w:val="20"/>
          <w:szCs w:val="20"/>
        </w:rPr>
      </w:pPr>
      <w:r w:rsidRPr="00D467A1">
        <w:rPr>
          <w:rFonts w:ascii="Calibri" w:hAnsi="Calibri" w:cstheme="minorHAnsi"/>
          <w:b/>
          <w:bCs/>
          <w:i/>
          <w:sz w:val="20"/>
          <w:szCs w:val="20"/>
        </w:rPr>
        <w:t>Cooperation period: 2021</w:t>
      </w:r>
      <w:r w:rsidR="00A560A5">
        <w:rPr>
          <w:rFonts w:ascii="Calibri" w:hAnsi="Calibri" w:cstheme="minorHAnsi"/>
          <w:b/>
          <w:bCs/>
          <w:i/>
          <w:sz w:val="20"/>
          <w:szCs w:val="20"/>
        </w:rPr>
      </w:r>
      <w:r w:rsidR="00A560A5" w:rsidRPr="00A560A5">
        <w:rPr>
          <w:rFonts w:ascii="Calibri" w:hAnsi="Calibri" w:cstheme="minorHAnsi"/>
          <w:i/>
          <w:sz w:val="20"/>
          <w:szCs w:val="20"/>
        </w:rPr>
      </w:r>
      <w:r w:rsidR="00A560A5">
        <w:rPr>
          <w:rFonts w:ascii="Calibri" w:hAnsi="Calibri" w:cstheme="minorHAnsi"/>
          <w:i/>
          <w:sz w:val="20"/>
          <w:szCs w:val="20"/>
        </w:rPr>
      </w:r>
      <w:r w:rsidR="00187B12">
        <w:rPr>
          <w:rFonts w:ascii="Calibri" w:hAnsi="Calibri" w:cstheme="minorHAnsi"/>
          <w:i/>
          <w:sz w:val="20"/>
          <w:szCs w:val="20"/>
        </w:rPr>
      </w:r>
      <w:r w:rsidR="00A560A5">
        <w:rPr>
          <w:rFonts w:ascii="Calibri" w:hAnsi="Calibri" w:cstheme="minorHAnsi"/>
          <w:b/>
          <w:bCs/>
          <w:i/>
          <w:sz w:val="20"/>
          <w:szCs w:val="20"/>
        </w:rPr>
      </w:r>
      <w:r w:rsidR="00A3412D" w:rsidRPr="00D467A1">
        <w:rPr>
          <w:rFonts w:ascii="Calibri" w:hAnsi="Calibri" w:cstheme="minorHAnsi"/>
          <w:b/>
          <w:bCs/>
          <w:i/>
          <w:sz w:val="20"/>
          <w:szCs w:val="20"/>
        </w:rPr>
      </w:r>
    </w:p>
    <w:p w14:paraId="34D5434D" w14:textId="2281AD61" w:rsidR="008A12BD" w:rsidRPr="00D467A1" w:rsidRDefault="001D5643" w:rsidP="00AB006D">
      <w:pPr>
        <w:spacing w:after="0"/>
        <w:jc w:val="both"/>
        <w:rPr>
          <w:rFonts w:ascii="Calibri" w:hAnsi="Calibri" w:cstheme="minorHAnsi"/>
          <w:b/>
          <w:bCs/>
          <w:i/>
          <w:sz w:val="20"/>
          <w:szCs w:val="20"/>
        </w:rPr>
      </w:pPr>
      <w:r w:rsidRPr="00D467A1">
        <w:rPr>
          <w:rFonts w:ascii="Calibri" w:hAnsi="Calibri" w:cstheme="minorHAnsi"/>
          <w:b/>
          <w:bCs/>
          <w:i/>
          <w:sz w:val="20"/>
          <w:szCs w:val="20"/>
        </w:rPr>
        <w:t>Maximum limit: 1,000,000 USD (14,456,940,000 UZS) dated 12.12.2025</w:t>
      </w:r>
      <w:r w:rsidR="00A3412D" w:rsidRPr="00D467A1">
        <w:rPr>
          <w:rFonts w:ascii="Calibri" w:hAnsi="Calibri" w:cstheme="minorHAnsi"/>
          <w:b/>
          <w:bCs/>
          <w:i/>
          <w:sz w:val="20"/>
          <w:szCs w:val="20"/>
        </w:rPr>
      </w:r>
      <w:r w:rsidRPr="00D467A1">
        <w:rPr>
          <w:rFonts w:ascii="Calibri" w:hAnsi="Calibri" w:cstheme="minorHAnsi"/>
          <w:b/>
          <w:bCs/>
          <w:i/>
          <w:sz w:val="20"/>
          <w:szCs w:val="20"/>
        </w:rPr>
      </w:r>
      <w:r w:rsidR="00A560A5">
        <w:rPr>
          <w:rFonts w:ascii="Calibri" w:hAnsi="Calibri" w:cstheme="minorHAnsi"/>
          <w:b/>
          <w:bCs/>
          <w:i/>
          <w:sz w:val="20"/>
          <w:szCs w:val="20"/>
        </w:rPr>
      </w:r>
      <w:r w:rsidR="00A560A5" w:rsidRPr="00A560A5">
        <w:rPr>
          <w:rFonts w:ascii="Calibri" w:hAnsi="Calibri" w:cstheme="minorHAnsi"/>
          <w:i/>
          <w:sz w:val="20"/>
          <w:szCs w:val="20"/>
        </w:rPr>
      </w:r>
      <w:r w:rsidR="00A3412D" w:rsidRPr="00D467A1">
        <w:rPr>
          <w:rFonts w:ascii="Calibri" w:hAnsi="Calibri" w:cstheme="minorHAnsi"/>
          <w:b/>
          <w:bCs/>
          <w:i/>
          <w:sz w:val="20"/>
          <w:szCs w:val="20"/>
        </w:rPr>
      </w:r>
      <w:r w:rsidR="00A560A5" w:rsidRPr="00A560A5">
        <w:rPr>
          <w:rFonts w:ascii="Calibri" w:hAnsi="Calibri" w:cstheme="minorHAnsi"/>
          <w:i/>
          <w:sz w:val="20"/>
          <w:szCs w:val="20"/>
        </w:rPr>
      </w:r>
      <w:r w:rsidR="00A560A5">
        <w:rPr>
          <w:rFonts w:ascii="Calibri" w:hAnsi="Calibri" w:cstheme="minorHAnsi"/>
          <w:i/>
          <w:sz w:val="20"/>
          <w:szCs w:val="20"/>
        </w:rPr>
      </w:r>
      <w:r w:rsidR="00636DBD">
        <w:rPr>
          <w:rFonts w:ascii="Calibri" w:hAnsi="Calibri" w:cstheme="minorHAnsi"/>
          <w:i/>
          <w:sz w:val="20"/>
          <w:szCs w:val="20"/>
        </w:rPr>
      </w:r>
    </w:p>
    <w:p w14:paraId="7D8884E3" w14:textId="382F0456" w:rsidR="008A12BD" w:rsidRPr="00D467A1" w:rsidRDefault="001D5643" w:rsidP="00AB006D">
      <w:pPr>
        <w:spacing w:after="0"/>
        <w:jc w:val="both"/>
        <w:rPr>
          <w:rFonts w:ascii="Calibri" w:hAnsi="Calibri" w:cstheme="minorHAnsi"/>
          <w:b/>
          <w:bCs/>
          <w:i/>
          <w:sz w:val="20"/>
          <w:szCs w:val="20"/>
        </w:rPr>
      </w:pPr>
      <w:r w:rsidRPr="00D467A1">
        <w:rPr>
          <w:rFonts w:ascii="Calibri" w:hAnsi="Calibri" w:cstheme="minorHAnsi"/>
          <w:b/>
          <w:bCs/>
          <w:i/>
          <w:sz w:val="20"/>
          <w:szCs w:val="20"/>
        </w:rPr>
        <w:t>Bank products used: aylanma mablag‘ uchun revolver kredit</w:t>
      </w:r>
      <w:r w:rsidR="00A3412D" w:rsidRPr="00D467A1">
        <w:rPr>
          <w:rFonts w:ascii="Calibri" w:hAnsi="Calibri" w:cstheme="minorHAnsi"/>
          <w:b/>
          <w:bCs/>
          <w:i/>
          <w:sz w:val="20"/>
          <w:szCs w:val="20"/>
        </w:rPr>
      </w:r>
      <w:r w:rsidR="00387132" w:rsidRPr="00D467A1">
        <w:rPr>
          <w:rFonts w:ascii="Calibri" w:hAnsi="Calibri" w:cstheme="minorHAnsi"/>
          <w:b/>
          <w:bCs/>
          <w:i/>
          <w:sz w:val="20"/>
          <w:szCs w:val="20"/>
        </w:rPr>
      </w:r>
      <w:r w:rsidR="00541E4B">
        <w:rPr>
          <w:rFonts w:ascii="Calibri" w:hAnsi="Calibri" w:cstheme="minorHAnsi"/>
          <w:b/>
          <w:bCs/>
          <w:i/>
          <w:sz w:val="20"/>
          <w:szCs w:val="20"/>
        </w:rPr>
      </w:r>
      <w:r w:rsidRPr="00D467A1">
        <w:rPr>
          <w:rFonts w:ascii="Calibri" w:hAnsi="Calibri" w:cstheme="minorHAnsi"/>
          <w:b/>
          <w:bCs/>
          <w:i/>
          <w:sz w:val="20"/>
          <w:szCs w:val="20"/>
        </w:rPr>
      </w:r>
      <w:r w:rsidR="001217EF">
        <w:rPr>
          <w:rFonts w:ascii="Calibri" w:hAnsi="Calibri" w:cstheme="minorHAnsi"/>
          <w:b/>
          <w:bCs/>
          <w:i/>
          <w:sz w:val="20"/>
          <w:szCs w:val="20"/>
        </w:rPr>
      </w:r>
      <w:r w:rsidR="001217EF" w:rsidRPr="001217EF">
        <w:rPr>
          <w:rFonts w:ascii="Calibri" w:hAnsi="Calibri" w:cstheme="minorHAnsi"/>
          <w:i/>
          <w:sz w:val="20"/>
          <w:szCs w:val="20"/>
        </w:rPr>
      </w:r>
    </w:p>
    <w:p w14:paraId="7B90DE42" w14:textId="5206D9F1" w:rsidR="00A3412D" w:rsidRDefault="00D467A1" w:rsidP="007E5CB3">
      <w:pPr>
        <w:spacing w:after="0"/>
        <w:jc w:val="both"/>
        <w:rPr>
          <w:rFonts w:ascii="Calibri" w:hAnsi="Calibri" w:cstheme="minorHAnsi"/>
          <w:i/>
          <w:sz w:val="20"/>
          <w:szCs w:val="20"/>
        </w:rPr>
      </w:pPr>
      <w:r w:rsidRPr="00D467A1">
        <w:rPr>
          <w:rFonts w:ascii="Calibri" w:hAnsi="Calibri" w:cstheme="minorHAnsi"/>
          <w:b/>
          <w:bCs/>
          <w:i/>
          <w:sz w:val="20"/>
          <w:szCs w:val="20"/>
        </w:rPr>
        <w:t>Bankning Products Water uchun strategik ahamiyati mijozning bank bilan aloqalarni diversifikatsiya qilish va operatsion moslashuvchanlikni oshirish niyati bilan yanada ta’kidlanadi. Hozirda Products Water asosiy hisob-kitob hisobini boshqa bankda yuritadi, biroq taklif etilayotgan kredit liniyasi tasdiqlangandan so‘ng Ipoteka Bank Yunusobod filiali bilan ikkilamchi hisob ochishga tayyorligini bildirgan. Ushbu qadam mijozning Ipoteka Bank bilan hamkorlikni chuqurlashtirishga tayyor ekanligini ko‘rsatadi va bu kompaniyaning oylik aylanmasi 12,0 milliard so‘mdan oshishi bilan yanada mustahkamlanadi.</w:t>
      </w:r>
      <w:r w:rsidR="00A3412D" w:rsidRPr="00D467A1">
        <w:rPr>
          <w:rFonts w:ascii="Calibri" w:hAnsi="Calibri" w:cstheme="minorHAnsi"/>
          <w:b/>
          <w:bCs/>
          <w:i/>
          <w:sz w:val="20"/>
          <w:szCs w:val="20"/>
        </w:rPr>
      </w:r>
      <w:r w:rsidRPr="00D467A1">
        <w:rPr>
          <w:rFonts w:ascii="Calibri" w:hAnsi="Calibri" w:cstheme="minorHAnsi"/>
          <w:b/>
          <w:bCs/>
          <w:i/>
          <w:sz w:val="20"/>
          <w:szCs w:val="20"/>
        </w:rPr>
      </w:r>
      <w:r>
        <w:rPr>
          <w:rFonts w:ascii="Calibri" w:hAnsi="Calibri" w:cstheme="minorHAnsi"/>
          <w:i/>
          <w:sz w:val="20"/>
          <w:szCs w:val="20"/>
        </w:rPr>
      </w:r>
      <w:r w:rsidR="002C1100">
        <w:rPr>
          <w:rFonts w:ascii="Calibri" w:hAnsi="Calibri" w:cstheme="minorHAnsi"/>
          <w:i/>
          <w:sz w:val="20"/>
          <w:szCs w:val="20"/>
        </w:rPr>
      </w:r>
      <w:r w:rsidR="003F2F65">
        <w:rPr>
          <w:rFonts w:ascii="Calibri" w:hAnsi="Calibri" w:cstheme="minorHAnsi"/>
          <w:i/>
          <w:sz w:val="20"/>
          <w:szCs w:val="20"/>
        </w:rPr>
      </w:r>
    </w:p>
    <w:p>
      <w:r>
        <w:t>Limitni tasdiqlash uchun asos mijozning kuchli kredit profili va ijobiy ish tajribasiga tayanadi. Products Water bankning ichki reyting tizimiga ko‘ra birinchi toifadagi mijoz sifatida tasniflanadi va kredit siyosati talablariga to‘liq javob beradi. So‘ralayotgan 1 000 000 AQSh dollari miqdoridagi aylanma kredit liniyasi kompaniyaning aylanma mablag‘lariga bo‘lgan ehtiyojlarini moliyalashtirish, amaldagi faoliyatini va kelajakdagi o‘sishini qo‘llab-quvvatlash uchun mo‘ljallangan. Mijoz ilgari Ipoteka Bankning Toshkent viloyat filiali tomonidan xizmat ko‘rsatilgan va hozirda ushbu aloqani qayta tiklash va kengaytirishga intilmoqda. Mijozning ko‘lami, barqaror moliyaviy holati va Ipoteka Bank bilan bank faoliyatini oshirishga bo‘lgan strategik intilishi hisobga olinsa, taklif etilayotgan limitni tasdiqlash tijorat nuqtai nazaridan asosli va bankning biznes rivojlanish maqsadlariga mos keladi.</w:t>
      </w:r>
    </w:p>
    <w:p w14:paraId="7FAB84EE" w14:textId="7EC616C7" w:rsidR="00A3412D" w:rsidRDefault="00A3412D" w:rsidP="00FB3919">
      <w:pPr>
        <w:spacing w:after="0"/>
        <w:contextualSpacing/>
        <w:jc w:val="both"/>
        <w:rPr>
          <w:rFonts w:ascii="Calibri" w:hAnsi="Calibri" w:cstheme="minorHAnsi"/>
          <w:i/>
          <w:sz w:val="20"/>
          <w:szCs w:val="20"/>
        </w:rPr>
      </w:pPr>
      <w:r w:rsidRPr="00F66D99">
        <w:rPr>
          <w:rFonts w:ascii="Calibri" w:hAnsi="Calibri" w:cstheme="minorHAnsi"/>
          <w:b/>
          <w:bCs/>
          <w:i/>
          <w:sz w:val="20"/>
          <w:szCs w:val="20"/>
        </w:rPr>
        <w:t>So‘nggi 12 oy ichida, MChJ "PRODUCTS WATER" bo‘yicha asosiy kredit qarori USD 1,000,000 miqdorida 36 oylik muddatga aylanma kredit limiti arizasini ko‘rib chiqish va tasdiqlashdan iborat bo‘ldi. Ushbu kredit liniyasi doirasidagi har bir jalb etilgan mablag‘ 12 oylik davr uchun tuzilgan bo‘lib, har bir siklning so‘nggi uch oyida teng qismlarda to‘lovlar jadallashtirilgan. Mazkur kredit liniyasi yillik 10% stavkada tasdiqlandi, mijozning dastlabki 9% stavka so‘rovidan so‘ng; yakuniy shartlar bankning 25.11.2025 sanasidagi ichki yozishmalariga muvofiq belgilandi.</w:t>
      </w:r>
      <w:r w:rsidR="00F66D99" w:rsidRPr="00F66D99">
        <w:rPr>
          <w:rFonts w:ascii="Calibri" w:hAnsi="Calibri" w:cstheme="minorHAnsi"/>
          <w:b/>
          <w:bCs/>
          <w:i/>
          <w:sz w:val="20"/>
          <w:szCs w:val="20"/>
        </w:rPr>
      </w:r>
      <w:r w:rsidRPr="00F66D99">
        <w:rPr>
          <w:rFonts w:ascii="Calibri" w:hAnsi="Calibri" w:cstheme="minorHAnsi"/>
          <w:b/>
          <w:bCs/>
          <w:i/>
          <w:sz w:val="20"/>
          <w:szCs w:val="20"/>
        </w:rPr>
      </w:r>
      <w:r>
        <w:rPr>
          <w:rFonts w:ascii="Calibri" w:hAnsi="Calibri" w:cstheme="minorHAnsi"/>
          <w:i/>
          <w:sz w:val="20"/>
          <w:szCs w:val="20"/>
        </w:rPr>
      </w:r>
      <w:r w:rsidR="00541E4B">
        <w:rPr>
          <w:rFonts w:ascii="Calibri" w:hAnsi="Calibri" w:cstheme="minorHAnsi"/>
          <w:i/>
          <w:sz w:val="20"/>
          <w:szCs w:val="20"/>
        </w:rPr>
      </w:r>
      <w:r>
        <w:rPr>
          <w:rFonts w:ascii="Calibri" w:hAnsi="Calibri" w:cstheme="minorHAnsi"/>
          <w:i/>
          <w:sz w:val="20"/>
          <w:szCs w:val="20"/>
        </w:rPr>
      </w:r>
    </w:p>
    <w:p>
      <w:r>
        <w:t>Kredit qo‘mitasining qarori mijozning muhim biznes profili, ijobiy kredit tarixi va ichki kredit siyosati talablariga, jumladan yuqori darajadagi ichki reyting va yetarli ta’minot bilan ta’minlanganligiga asoslandi. Tasdiqlash sharti sifatida mijoz Ipoteka Bank Yunusobod filiali orqali ikkilamchi hisob raqami ochishga majburiyat oldi, bu majburiyat ijobiy kredit qaroridan so‘ng bajarildi. Kelishilgan shartlar va monitoring talablari doimiy ravishda bajarilmoqda, so‘nggi ko‘rib chiqish holatiga ko‘ra, hech qanday buzilish yoki kechikish qayd etilmagan.</w:t>
      </w:r>
    </w:p>
    <w:p w14:paraId="7217A182" w14:textId="5251251B" w:rsidR="00A3412D" w:rsidRDefault="00D95236" w:rsidP="00FB3919">
      <w:pPr>
        <w:spacing w:after="0"/>
        <w:contextualSpacing/>
        <w:jc w:val="both"/>
        <w:rPr>
          <w:rFonts w:ascii="Calibri" w:hAnsi="Calibri" w:cstheme="minorHAnsi"/>
          <w:i/>
          <w:sz w:val="20"/>
          <w:szCs w:val="20"/>
        </w:rPr>
      </w:pPr>
      <w:r w:rsidRPr="00D95236">
        <w:rPr>
          <w:rFonts w:ascii="Calibri" w:hAnsi="Calibri" w:cstheme="minorHAnsi"/>
          <w:b/>
          <w:bCs/>
          <w:i/>
          <w:sz w:val="20"/>
          <w:szCs w:val="20"/>
        </w:rPr>
        <w:t>Kredit ko‘rib chiqilishi davomida hech qanday imtiyozlar (waivers), kovenant buzilishlari yoki o‘zgartirishlar aniqlanmadi. Hujjatlar va risk baholashlari kovenant buzilishi yoki imtiyozlar zarurati holatlarini ko‘rsatmaydi. Bundan tashqari, asl kredit shartlariga nisbatan hech qanday qayta tuzish (restructuring), muddat uzaytirish (extensions) yoki moslashtirishlar (adjustments) dalillari mavjud emas. Qarzdorning shartnomaviy majburiyatlarga rioya qilishi saqlanib qolgan, va ko‘rib chiqish davrida hech qanday tuzatish choralariga yoki o‘zgartirishlarga ehtiyoj bo‘lmagan.</w:t>
      </w:r>
      <w:r w:rsidR="00A3412D" w:rsidRPr="00D95236">
        <w:rPr>
          <w:rFonts w:ascii="Calibri" w:hAnsi="Calibri" w:cstheme="minorHAnsi"/>
          <w:b/>
          <w:bCs/>
          <w:i/>
          <w:sz w:val="20"/>
          <w:szCs w:val="20"/>
        </w:rPr>
      </w:r>
      <w:r w:rsidR="00A3412D">
        <w:rPr>
          <w:rFonts w:ascii="Calibri" w:hAnsi="Calibri" w:cstheme="minorHAnsi"/>
          <w:i/>
          <w:sz w:val="20"/>
          <w:szCs w:val="20"/>
        </w:rPr>
      </w:r>
    </w:p>
    <w:p w14:paraId="0F9BEC98" w14:textId="7A0FCF90" w:rsidR="00A3412D" w:rsidRDefault="009104EF" w:rsidP="00FB3919">
      <w:pPr>
        <w:pStyle w:val="Subtitle"/>
        <w:spacing w:line="276" w:lineRule="auto"/>
        <w:ind w:left="0"/>
        <w:jc w:val="both"/>
        <w:rPr>
          <w:rFonts w:asciiTheme="minorHAnsi" w:hAnsiTheme="minorHAnsi" w:cstheme="minorHAnsi"/>
          <w:b w:val="0"/>
          <w:bCs w:val="0"/>
          <w:i/>
          <w:sz w:val="20"/>
          <w:szCs w:val="20"/>
          <w:lang w:val="en-GB"/>
        </w:rPr>
      </w:pPr>
      <w:r w:rsidRPr="009104EF">
        <w:rPr>
          <w:rFonts w:asciiTheme="minorHAnsi" w:hAnsiTheme="minorHAnsi" w:cstheme="minorHAnsi"/>
          <w:i/>
          <w:sz w:val="20"/>
          <w:szCs w:val="20"/>
          <w:lang w:val="en-GB"/>
        </w:rPr>
        <w:t>LLC "PRODUCTS WATER" tomonidan hozirgi kredit so‘rovi USD 1,000,000 miqdorida aylanma kredit liniyasi uchun taqdim etilgan. Mazkur kredit liniyasining ko‘rsatilgan maqsadi kompaniyaning aylanma kapitalini to‘ldirish va joriy operatsion ehtiyojlarni qo‘llab-quvvatlashdan iborat. Taklif etilayotgan muddat 36 oy bo‘lib, aylanma kredit liniyasi shaklida tuzilgan; har bir jalb etilgan mablag‘ 12 oygacha foydalanish uchun mavjud bo‘ladi va har bir foydalanish davrining so‘nggi uch oyida teng qismlarda qaytariladi.</w:t>
      </w:r>
      <w:r w:rsidR="00A3412D" w:rsidRPr="009104EF">
        <w:rPr>
          <w:rFonts w:asciiTheme="minorHAnsi" w:hAnsiTheme="minorHAnsi" w:cstheme="minorHAnsi"/>
          <w:i/>
          <w:sz w:val="20"/>
          <w:szCs w:val="20"/>
          <w:lang w:val="en-GB"/>
        </w:rPr>
      </w:r>
      <w:r w:rsidR="00A3412D">
        <w:rPr>
          <w:rFonts w:asciiTheme="minorHAnsi" w:hAnsiTheme="minorHAnsi" w:cstheme="minorHAnsi"/>
          <w:b w:val="0"/>
          <w:bCs w:val="0"/>
          <w:i/>
          <w:sz w:val="20"/>
          <w:szCs w:val="20"/>
          <w:lang w:val="en-GB"/>
        </w:rPr>
      </w:r>
    </w:p>
    <w:p>
      <w:r>
        <w:t>Kredit liniyasi uchun foiz stavkasi yillik 10% etib belgilangan, bu ichki tasdiqlashdan so‘ng, mijozning dastlabki 9% stavka so‘roviga qaramay, tasdiqlangan. Hech qanday imtiyozli davr yoki maxsus komissiya to‘lovlari ko‘rsatilmagan. Kredit liniyasi bankning o‘z mablag‘lari hisobidan moliyalashtiriladi. Standart monitoring va moliyaviy kovenantlardan tashqari, bunday bitimlarga tatbiq etiladigan qo‘shimcha maxsus shartlar belgilanmagan.</w:t>
      </w:r>
    </w:p>
    <w:p w14:paraId="5C46B9CF" w14:textId="77777777" w:rsidR="00680D55" w:rsidRDefault="00680D55" w:rsidP="00680D55">
      <w:pPr>
        <w:pStyle w:val="Subtitle"/>
        <w:spacing w:line="276" w:lineRule="auto"/>
        <w:ind w:left="0"/>
        <w:jc w:val="both"/>
        <w:rPr>
          <w:rFonts w:asciiTheme="minorHAnsi" w:hAnsiTheme="minorHAnsi" w:cstheme="minorHAnsi"/>
          <w:b w:val="0"/>
          <w:bCs w:val="0"/>
          <w:i/>
          <w:sz w:val="20"/>
          <w:szCs w:val="20"/>
          <w:lang w:val="en-GB"/>
        </w:rPr>
      </w:pPr>
    </w:p>
    <w:tbl>
      <w:tblPr>
        <w:tblStyle w:val="TableGrid"/>
        <w:tblW w:w="13005" w:type="dxa"/>
        <w:tblInd w:w="-1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3005"/>
      </w:tblGrid>
      <w:tr w:rsidR="00680D55" w:rsidRPr="00B527E0" w14:paraId="2FF50122" w14:textId="77777777" w:rsidTr="0079496A">
        <w:trPr>
          <w:trHeight w:val="361"/>
        </w:trPr>
        <w:tc>
          <w:tcPr>
            <w:tcW w:w="13005" w:type="dxa"/>
            <w:shd w:val="clear" w:color="auto" w:fill="92D050"/>
            <w:vAlign w:val="center"/>
          </w:tcPr>
          <w:p w14:paraId="25076513" w14:textId="77777777" w:rsidR="00327A9D" w:rsidRPr="004F3793" w:rsidRDefault="00621613" w:rsidP="00527BDB">
            <w:pPr>
              <w:pStyle w:val="Subtitle"/>
              <w:numPr>
                <w:ilvl w:val="0"/>
                <w:numId w:val="3"/>
              </w:numPr>
              <w:spacing w:line="276" w:lineRule="auto"/>
              <w:ind w:left="0"/>
              <w:jc w:val="left"/>
              <w:rPr>
                <w:rFonts w:asciiTheme="minorHAnsi" w:hAnsiTheme="minorHAnsi" w:cstheme="minorHAnsi"/>
                <w:b w:val="0"/>
                <w:bCs w:val="0"/>
                <w:sz w:val="24"/>
                <w:szCs w:val="24"/>
                <w:lang w:val="en-GB"/>
              </w:rPr>
            </w:pPr>
            <w:bookmarkStart w:id="0" w:name="_Hlk162255503"/>
            <w:r>
              <w:rPr>
                <w:rFonts w:asciiTheme="minorHAnsi" w:hAnsiTheme="minorHAnsi" w:cstheme="minorHAnsi"/>
                <w:bCs w:val="0"/>
                <w:sz w:val="24"/>
                <w:szCs w:val="24"/>
                <w:lang w:val="en-GB"/>
              </w:rPr>
              <w:t>II RISK</w:t>
            </w:r>
            <w:r w:rsidR="00680D55">
              <w:rPr>
                <w:rFonts w:asciiTheme="minorHAnsi" w:hAnsiTheme="minorHAnsi" w:cstheme="minorHAnsi"/>
                <w:bCs w:val="0"/>
                <w:sz w:val="24"/>
                <w:szCs w:val="24"/>
                <w:lang w:val="en-GB"/>
              </w:rPr>
              <w:t xml:space="preserve"> ASSESSMENT</w:t>
            </w:r>
            <w:r w:rsidR="00664DA4">
              <w:rPr>
                <w:rFonts w:asciiTheme="minorHAnsi" w:hAnsiTheme="minorHAnsi" w:cstheme="minorHAnsi"/>
                <w:bCs w:val="0"/>
                <w:sz w:val="24"/>
                <w:szCs w:val="24"/>
                <w:lang w:val="en-GB"/>
              </w:rPr>
              <w:t xml:space="preserve"> (4-5 sentences</w:t>
            </w:r>
            <w:r w:rsidR="00C42B93">
              <w:rPr>
                <w:rFonts w:asciiTheme="minorHAnsi" w:hAnsiTheme="minorHAnsi" w:cstheme="minorHAnsi"/>
                <w:bCs w:val="0"/>
                <w:sz w:val="24"/>
                <w:szCs w:val="24"/>
                <w:lang w:val="en-GB"/>
              </w:rPr>
              <w:t xml:space="preserve"> in each section</w:t>
            </w:r>
            <w:r w:rsidR="00664DA4">
              <w:rPr>
                <w:rFonts w:asciiTheme="minorHAnsi" w:hAnsiTheme="minorHAnsi" w:cstheme="minorHAnsi"/>
                <w:bCs w:val="0"/>
                <w:sz w:val="24"/>
                <w:szCs w:val="24"/>
                <w:lang w:val="en-GB"/>
              </w:rPr>
              <w:t>)</w:t>
            </w:r>
          </w:p>
          <w:p w14:paraId="20531FBB" w14:textId="2CB9F220" w:rsidR="004F3793" w:rsidRPr="004F3793" w:rsidRDefault="004F3793" w:rsidP="004F3793">
            <w:pPr>
              <w:rPr>
                <w:lang w:val="en-GB" w:eastAsia="ja-JP"/>
              </w:rPr>
            </w:pPr>
          </w:p>
        </w:tc>
      </w:tr>
    </w:tbl>
    <w:bookmarkEnd w:id="0"/>
    <w:p w14:paraId="04A8D34D" w14:textId="375563FC" w:rsidR="00C4520B" w:rsidRDefault="00263CFC" w:rsidP="00C213D4">
      <w:pPr>
        <w:pStyle w:val="Subtitle"/>
        <w:spacing w:before="240" w:line="276" w:lineRule="auto"/>
        <w:ind w:left="0"/>
        <w:jc w:val="both"/>
        <w:rPr>
          <w:rFonts w:asciiTheme="minorHAnsi" w:hAnsiTheme="minorHAnsi" w:cstheme="minorHAnsi"/>
          <w:b w:val="0"/>
          <w:bCs w:val="0"/>
          <w:i/>
          <w:sz w:val="20"/>
          <w:szCs w:val="20"/>
          <w:lang w:val="en-GB"/>
        </w:rPr>
      </w:pPr>
      <w:r w:rsidRPr="004F1AFE">
        <w:rPr>
          <w:rFonts w:asciiTheme="minorHAnsi" w:hAnsiTheme="minorHAnsi" w:cstheme="minorHAnsi"/>
          <w:bCs w:val="0"/>
          <w:sz w:val="20"/>
          <w:szCs w:val="20"/>
        </w:rPr>
        <w:lastRenderedPageBreak/>
        <w:t>Risk factors for the client</w:t>
      </w:r>
      <w:r w:rsidR="00C4520B">
        <w:rPr>
          <w:rFonts w:ascii="Calibri" w:hAnsi="Calibri" w:cstheme="minorHAnsi"/>
          <w:bCs w:val="0"/>
          <w:sz w:val="20"/>
          <w:szCs w:val="20"/>
          <w:lang w:val="en-US"/>
        </w:rPr>
        <w:t>:</w:t>
      </w:r>
    </w:p>
    <w:p w14:paraId="5E334F6D" w14:textId="0FEF3A2D" w:rsidR="007F1334" w:rsidRPr="00A6113C" w:rsidRDefault="007F1334" w:rsidP="007F1334">
      <w:pPr>
        <w:pStyle w:val="Subtitle"/>
        <w:ind w:left="0"/>
        <w:jc w:val="both"/>
        <w:rPr>
          <w:rFonts w:ascii="Calibri" w:hAnsi="Calibri" w:cstheme="minorHAnsi"/>
          <w:bCs w:val="0"/>
          <w:sz w:val="20"/>
          <w:szCs w:val="20"/>
          <w:lang w:val="en-US"/>
        </w:rPr>
      </w:pPr>
      <w:r w:rsidRPr="00A6113C">
        <w:rPr>
          <w:rFonts w:ascii="Calibri" w:hAnsi="Calibri" w:cstheme="minorHAnsi"/>
          <w:bCs w:val="0"/>
          <w:sz w:val="20"/>
          <w:szCs w:val="20"/>
          <w:lang w:val="en-US"/>
        </w:rPr>
        <w:t>Owner risk → mumkin</w:t>
      </w:r>
      <w:r w:rsidR="00A31317">
        <w:rPr>
          <w:rFonts w:ascii="Calibri" w:hAnsi="Calibri" w:cstheme="minorHAnsi"/>
          <w:bCs w:val="0"/>
          <w:sz w:val="20"/>
          <w:szCs w:val="20"/>
          <w:lang w:val="en-US"/>
        </w:rPr>
      </w:r>
      <w:r w:rsidRPr="00A6113C">
        <w:rPr>
          <w:rFonts w:ascii="Calibri" w:hAnsi="Calibri" w:cstheme="minorHAnsi"/>
          <w:bCs w:val="0"/>
          <w:sz w:val="20"/>
          <w:szCs w:val="20"/>
          <w:lang w:val="en-US"/>
        </w:rPr>
      </w:r>
      <w:r w:rsidR="00C55BB1" w:rsidRPr="00C55BB1">
        <w:rPr>
          <w:rFonts w:ascii="Calibri" w:hAnsi="Calibri" w:cstheme="minorHAnsi"/>
          <w:bCs w:val="0"/>
          <w:sz w:val="20"/>
          <w:szCs w:val="20"/>
          <w:lang w:val="en-US"/>
        </w:rPr>
      </w:r>
      <w:sdt>
        <w:sdtPr>
          <w:rPr>
            <w:rFonts w:ascii="Calibri" w:hAnsi="Calibri" w:cstheme="minorHAnsi"/>
            <w:bCs w:val="0"/>
            <w:sz w:val="20"/>
            <w:szCs w:val="20"/>
            <w:lang w:val="en-US"/>
          </w:rPr>
          <w:id w:val="1324003340"/>
          <w:lock w:val="sdtLocked"/>
          <w:placeholder>
            <w:docPart w:val="576B6556CEEB43408B0F0F4E71BD48BC"/>
          </w:placeholder>
          <w:dropDownList>
            <w:listItem w:displayText="Low" w:value="Low"/>
            <w:listItem w:displayText="Moderate" w:value="Moderate"/>
            <w:listItem w:displayText="High" w:value="High"/>
          </w:dropDownList>
        </w:sdtPr>
        <w:sdtContent>
          <w:r w:rsidR="00C55BB1">
            <w:rPr>
              <w:rFonts w:ascii="Calibri" w:hAnsi="Calibri" w:cstheme="minorHAnsi"/>
              <w:bCs w:val="0"/>
              <w:sz w:val="20"/>
              <w:szCs w:val="20"/>
              <w:lang w:val="en-US"/>
            </w:rPr>
            <w:t>Low</w:t>
          </w:r>
        </w:sdtContent>
      </w:sdt>
      <w:r w:rsidRPr="00A6113C">
        <w:rPr>
          <w:rFonts w:ascii="Calibri" w:hAnsi="Calibri" w:cstheme="minorHAnsi"/>
          <w:bCs w:val="0"/>
          <w:sz w:val="20"/>
          <w:szCs w:val="20"/>
          <w:lang w:val="en-US"/>
        </w:rPr>
      </w:r>
    </w:p>
    <w:p w14:paraId="717AEE6C" w14:textId="16254474" w:rsidR="007F1334" w:rsidRDefault="007F1334" w:rsidP="007F1334">
      <w:pPr>
        <w:pStyle w:val="Subtitle"/>
        <w:ind w:left="0"/>
        <w:jc w:val="both"/>
        <w:rPr>
          <w:rFonts w:ascii="Calibri" w:hAnsi="Calibri" w:cstheme="minorHAnsi"/>
          <w:b w:val="0"/>
          <w:bCs w:val="0"/>
          <w:i/>
          <w:sz w:val="20"/>
          <w:szCs w:val="20"/>
          <w:lang w:val="en-US"/>
        </w:rPr>
      </w:pPr>
      <w:r w:rsidRPr="00A6113C">
        <w:rPr>
          <w:rFonts w:ascii="Calibri" w:hAnsi="Calibri" w:cstheme="minorHAnsi"/>
          <w:b w:val="0"/>
          <w:bCs w:val="0"/>
          <w:i/>
          <w:sz w:val="20"/>
          <w:szCs w:val="20"/>
          <w:lang w:val="en-US"/>
        </w:rPr>
        <w:t>Kompaniya xususiy mulkka ega bo‘lib, ikki asoschi — Anvarov Otabek Farxod o‘g‘li va Fozilov Jaxongir Faxridin o‘g‘li — ustav kapitalining har biri 50% ulushiga egalik qiladi. Benefisiar egalik ochiq-oydin bo‘lib, nomzod yoki noaniq tuzilmalar mavjudligi aniqlanmagan. Direktor Badalov Dilshod Hikmatullaevich 2024-yil avgust oyida tayinlangan va so‘nggi vaqtlarda boshqaruvda o‘zgarishlar yoki egalar yoki boshqaruvga nisbatan ishonchsizlik alomatlari kuzatilmagan, bu esa rahbariyatda barqarorlik va izchillikni ko‘rsatadi. E’tiborga molik jihati shundaki, Anvarov Otabek Farxod o‘g‘li boshqa biznes loyihalarda ham ishtirok etadi, jumladan, affillangan kompaniyalarda — ООО XALQAROIT Mediasity Ani rivojlantirish ittifoqi (90%) va ООО «ALOY ELIT» (50%) — muhim ulushlarga ega, bu esa sinergiya imkoniyatlari bilan birga asosiy shaxsga bog‘liqlik yoki manfaatlar to‘qnashuvi xavfini ham yuzaga keltirishi mumkin. Biroq, hozirda ushbu tashqi biznes manfaatlaridan ortiqcha konsentratsiya riski yoki salbiy ta’sirga oid dalillar mavjud emas.</w:t>
      </w:r>
      <w:r w:rsidR="003A5AF6">
        <w:rPr>
          <w:rFonts w:ascii="Calibri" w:hAnsi="Calibri" w:cstheme="minorHAnsi"/>
          <w:b w:val="0"/>
          <w:bCs w:val="0"/>
          <w:i/>
          <w:sz w:val="20"/>
          <w:szCs w:val="20"/>
          <w:lang w:val="en-US"/>
        </w:rPr>
      </w:r>
      <w:r w:rsidR="003A63AE">
        <w:rPr>
          <w:rFonts w:ascii="Calibri" w:hAnsi="Calibri" w:cstheme="minorHAnsi"/>
          <w:b w:val="0"/>
          <w:bCs w:val="0"/>
          <w:i/>
          <w:sz w:val="20"/>
          <w:szCs w:val="20"/>
          <w:lang w:val="en-US"/>
        </w:rPr>
      </w:r>
      <w:r w:rsidR="003A5AF6">
        <w:rPr>
          <w:rFonts w:ascii="Calibri" w:hAnsi="Calibri" w:cstheme="minorHAnsi"/>
          <w:b w:val="0"/>
          <w:bCs w:val="0"/>
          <w:i/>
          <w:sz w:val="20"/>
          <w:szCs w:val="20"/>
          <w:lang w:val="en-US"/>
        </w:rPr>
      </w:r>
    </w:p>
    <w:p w14:paraId="4E8A6388" w14:textId="1869F9D0" w:rsidR="00387772" w:rsidRPr="003A5AF6" w:rsidRDefault="00A53546" w:rsidP="007F1334">
      <w:pPr>
        <w:pStyle w:val="Subtitle"/>
        <w:ind w:left="0"/>
        <w:jc w:val="both"/>
        <w:rPr>
          <w:rFonts w:ascii="Calibri" w:hAnsi="Calibri" w:cstheme="minorHAnsi"/>
          <w:i/>
          <w:sz w:val="20"/>
          <w:szCs w:val="20"/>
          <w:lang w:val="en-US"/>
        </w:rPr>
      </w:pPr>
      <w:r w:rsidRPr="003A5AF6">
        <w:rPr>
          <w:rFonts w:ascii="Calibri" w:hAnsi="Calibri" w:cstheme="minorHAnsi"/>
          <w:i/>
          <w:sz w:val="20"/>
          <w:szCs w:val="20"/>
          <w:lang w:val="en-US"/>
        </w:rPr>
        <w:t>Kompaniya xususiy mulkka ega bo‘lib, ikki asoschi – Anvarov Otabek Farxod o‘g‘li va Fozilov Jaxongir Faxridin o‘g‘li – ustav kapitalining har biri 50% ulushiga egalik qiladi. Har ikkala shaxs ham O‘zbekiston fuqarolari bo‘lib, Anvarov Otabek Farxod o‘g‘li boshqa korxonalarda ham ishtirok etayotgan faol tadbirkor ekani haqida dalillar mavjud, bu esa biznes tajribasi va tijorat faoliyatida keng ishtirok etayotganini ko‘rsatadi.</w:t>
      </w:r>
      <w:r w:rsidR="00387772" w:rsidRPr="003A5AF6">
        <w:rPr>
          <w:rFonts w:ascii="Calibri" w:hAnsi="Calibri" w:cstheme="minorHAnsi"/>
          <w:i/>
          <w:sz w:val="20"/>
          <w:szCs w:val="20"/>
          <w:lang w:val="en-US"/>
        </w:rPr>
      </w:r>
      <w:r w:rsidR="004D4F2A">
        <w:rPr>
          <w:rFonts w:ascii="Calibri" w:hAnsi="Calibri" w:cstheme="minorHAnsi"/>
          <w:i/>
          <w:sz w:val="20"/>
          <w:szCs w:val="20"/>
          <w:lang w:val="en-US"/>
        </w:rPr>
      </w:r>
      <w:r w:rsidR="001B2F0B" w:rsidRPr="003A5AF6">
        <w:rPr>
          <w:rFonts w:ascii="Calibri" w:hAnsi="Calibri" w:cstheme="minorHAnsi"/>
          <w:i/>
          <w:sz w:val="20"/>
          <w:szCs w:val="20"/>
          <w:lang w:val="en-US"/>
        </w:rPr>
      </w:r>
    </w:p>
    <w:p>
      <w:r>
        <w:t>Hozirgi direktor – Badalov Dilshod Hikmatullaevich, 01.08.2024 sanasidagi 03-sonli buyruq asosida tayinlangan. So‘nggi 12 oy ichida direktor almashinuvi bo‘lmaganligi tasdiqlangan va boshqaruvda beqarorlik yoki tez-tez o‘zgarishlar yuz bermagan. Egalik va boshqaruv tarkibi orasida ustma-ustlik aniqlanmagan, ya’ni asoschilardan hech biri kompaniyada boshqaruv lavozimini egallamaydi. Egalik va boshqaruvning ajratilganligi, boshqaruvning bir qo‘lda to‘planishi bilan bog‘liq bo‘lishi mumkin bo‘lgan boshqaruv xavflarini kamaytiradi.</w:t>
      </w:r>
    </w:p>
    <w:p>
      <w:r>
        <w:t>Kompaniya barqaror egalik tuzilmasiga ega va tajribali manfaatdor shaxslar ishtirokida faoliyat yuritadi, egalari va boshqaruv o‘rtasida ishonchsizlik yoki ziddiyatlar haqida hech qanday ma’lumot yo‘q. Ushbu profil kompaniyaning boshqaruvi va operatsion barqarorligiga ishonchni mustahkamlaydi.</w:t>
      </w:r>
    </w:p>
    <w:p w14:paraId="6A7373C4" w14:textId="77777777" w:rsidR="002E4CDB" w:rsidRDefault="002E4CDB" w:rsidP="002E4CDB">
      <w:pPr>
        <w:pStyle w:val="CommentText"/>
        <w:jc w:val="both"/>
        <w:rPr>
          <w:rFonts w:ascii="Calibri" w:hAnsi="Calibri"/>
          <w:i/>
        </w:rPr>
      </w:pPr>
    </w:p>
    <w:p w14:paraId="77B39F1C" w14:textId="77777777" w:rsidR="002B62EA" w:rsidRDefault="002B62EA" w:rsidP="002E4CDB">
      <w:pPr>
        <w:pStyle w:val="CommentText"/>
        <w:jc w:val="both"/>
        <w:rPr>
          <w:rFonts w:ascii="Calibri" w:hAnsi="Calibri"/>
          <w:i/>
        </w:rPr>
      </w:pPr>
    </w:p>
    <w:p w14:paraId="33A4DE7D" w14:textId="77777777" w:rsidR="002B62EA" w:rsidRDefault="002B62EA" w:rsidP="002E4CDB">
      <w:pPr>
        <w:pStyle w:val="CommentText"/>
        <w:jc w:val="both"/>
        <w:rPr>
          <w:rFonts w:ascii="Calibri" w:hAnsi="Calibri"/>
          <w:i/>
        </w:rPr>
      </w:pPr>
    </w:p>
    <w:p w14:paraId="0CAF704C" w14:textId="77777777" w:rsidR="002B62EA" w:rsidRPr="00A6113C" w:rsidRDefault="002B62EA" w:rsidP="002E4CDB">
      <w:pPr>
        <w:pStyle w:val="CommentText"/>
        <w:jc w:val="both"/>
        <w:rPr>
          <w:rFonts w:ascii="Calibri" w:hAnsi="Calibri"/>
          <w:i/>
        </w:rPr>
      </w:pPr>
    </w:p>
    <w:p w14:paraId="6A2D1D1D" w14:textId="2E8AD613" w:rsidR="002E4CDB" w:rsidRPr="00A6113C" w:rsidRDefault="002E4CDB" w:rsidP="002E4CDB">
      <w:pPr>
        <w:spacing w:after="0" w:line="240" w:lineRule="auto"/>
        <w:jc w:val="both"/>
        <w:rPr>
          <w:rFonts w:ascii="Calibri" w:hAnsi="Calibri" w:cstheme="minorHAnsi"/>
          <w:b/>
          <w:bCs/>
          <w:sz w:val="20"/>
          <w:szCs w:val="20"/>
        </w:rPr>
      </w:pPr>
      <w:r w:rsidRPr="00A6113C">
        <w:rPr>
          <w:rFonts w:ascii="Calibri" w:hAnsi="Calibri" w:cstheme="minorHAnsi"/>
          <w:b/>
          <w:color w:val="000000"/>
          <w:sz w:val="20"/>
          <w:szCs w:val="20"/>
        </w:rPr>
        <w:t>Management risk → ma'qullash</w:t>
      </w:r>
      <w:r w:rsidRPr="00A6113C">
        <w:rPr>
          <w:rFonts w:ascii="Calibri" w:hAnsi="Calibri" w:cstheme="minorHAnsi"/>
          <w:b/>
          <w:bCs/>
          <w:sz w:val="20"/>
          <w:szCs w:val="20"/>
        </w:rPr>
      </w:r>
      <w:sdt>
        <w:sdtPr>
          <w:rPr>
            <w:rFonts w:ascii="Calibri" w:hAnsi="Calibri" w:cstheme="minorHAnsi"/>
            <w:b/>
            <w:bCs/>
            <w:sz w:val="20"/>
            <w:szCs w:val="20"/>
          </w:rPr>
          <w:id w:val="1200592430"/>
          <w:lock w:val="sdtLocked"/>
          <w:placeholder>
            <w:docPart w:val="DefaultPlaceholder_-1854013438"/>
          </w:placeholder>
          <w:dropDownList>
            <w:listItem w:displayText="Low" w:value="Low"/>
            <w:listItem w:displayText="Moderate" w:value="Moderate"/>
            <w:listItem w:displayText="High" w:value="High"/>
          </w:dropDownList>
        </w:sdtPr>
        <w:sdtContent>
          <w:r w:rsidR="00C55BB1">
            <w:rPr>
              <w:rFonts w:ascii="Calibri" w:hAnsi="Calibri" w:cstheme="minorHAnsi"/>
              <w:b/>
              <w:bCs/>
              <w:sz w:val="20"/>
              <w:szCs w:val="20"/>
            </w:rPr>
            <w:t>Low</w:t>
          </w:r>
        </w:sdtContent>
      </w:sdt>
    </w:p>
    <w:p w14:paraId="5FC2C57D" w14:textId="4173B9AC" w:rsidR="002E4CDB" w:rsidRDefault="002E4CDB" w:rsidP="002E4CDB">
      <w:pPr>
        <w:pStyle w:val="CommentText"/>
        <w:jc w:val="both"/>
        <w:rPr>
          <w:rFonts w:ascii="Calibri" w:hAnsi="Calibri"/>
          <w:i/>
        </w:rPr>
      </w:pPr>
      <w:r>
        <w:t>PRODUCTS WATER boshqaruvi yuqori darajadagi barqarorlikni namoyon etadi, so‘nggi 12 oy ichida ijroiya rahbariyatida hech qanday o‘zgarishlar bo‘lmagan. Ushbu uzluksizlik asoschiga yoki amaldagi boshqaruvga nisbatan hech qanday ishonchsizlik haqida xabar berilmaganligi bilan ham mustahkamlanadi, bu esa barqaror korporativ boshqaruv muhitini ko‘rsatadi. Hozirgi direktor Rayimov Mirjalol Jasur O‘g‘li, shuningdek, bosh buxgalter sifatida ham faoliyat yuritadi, bu esa vakolatlarning jamlanishi va potentsial "bir kishilik shou" xavfini yuzaga keltirishi mumkin. Biroq, boshqaruvga oid muvofiqlik yoki tartibga soluvchi muammolar mavjudligi haqida hech qanday dalil yo‘q va kompaniya qoniqarli operatsion natijalarni saqlab kelmoqda. Direktorning ikki lavozimda ishlashi kutilmagan holatlar yuzaga kelganda uzluksizlik xavfini oshirishi mumkin bo‘lsa-da, umumiy boshqaruv xavfi profili o‘rtacha darajada bo‘lib qolmoqda, bu esa operatsion barqarorlik va tartibga muvofiqlik bilan qo‘llab-quvvatlanadi.</w:t>
      </w:r>
    </w:p>
    <w:p w14:paraId="0FE510B9" w14:textId="77777777" w:rsidR="002B62EA" w:rsidRPr="00A6113C" w:rsidRDefault="002B62EA" w:rsidP="002E4CDB">
      <w:pPr>
        <w:pStyle w:val="CommentText"/>
        <w:jc w:val="both"/>
        <w:rPr>
          <w:rFonts w:ascii="Calibri" w:hAnsi="Calibri"/>
          <w:i/>
        </w:rPr>
      </w:pPr>
    </w:p>
    <w:p w14:paraId="71E5F6D1" w14:textId="77777777" w:rsidR="006B58B5" w:rsidRDefault="006B58B5" w:rsidP="006B58B5">
      <w:pPr>
        <w:pStyle w:val="CommentText"/>
        <w:jc w:val="both"/>
        <w:rPr>
          <w:rFonts w:ascii="Calibri" w:hAnsi="Calibri"/>
          <w:i/>
        </w:rPr>
      </w:pPr>
    </w:p>
    <w:p w14:paraId="603B1243" w14:textId="0956B329" w:rsidR="00063D78" w:rsidRDefault="00063D78" w:rsidP="00063D78">
      <w:pPr>
        <w:spacing w:after="0" w:line="240" w:lineRule="auto"/>
        <w:jc w:val="both"/>
        <w:rPr>
          <w:rFonts w:ascii="Calibri" w:hAnsi="Calibri" w:cstheme="minorHAnsi"/>
          <w:b/>
          <w:bCs/>
          <w:sz w:val="20"/>
          <w:szCs w:val="20"/>
        </w:rPr>
      </w:pPr>
      <w:r w:rsidRPr="00A6113C">
        <w:rPr>
          <w:rFonts w:ascii="Calibri" w:hAnsi="Calibri" w:cstheme="minorHAnsi"/>
          <w:b/>
          <w:color w:val="000000"/>
          <w:sz w:val="20"/>
          <w:szCs w:val="20"/>
        </w:rPr>
        <w:t>Client group risk →</w:t>
      </w:r>
      <w:r w:rsidRPr="00A6113C">
        <w:rPr>
          <w:rFonts w:ascii="Calibri" w:hAnsi="Calibri" w:cstheme="minorHAnsi"/>
          <w:b/>
          <w:bCs/>
          <w:sz w:val="20"/>
          <w:szCs w:val="20"/>
        </w:rPr>
      </w:r>
      <w:sdt>
        <w:sdtPr>
          <w:rPr>
            <w:rFonts w:ascii="Calibri" w:hAnsi="Calibri" w:cstheme="minorHAnsi"/>
            <w:b/>
            <w:bCs/>
            <w:sz w:val="20"/>
            <w:szCs w:val="20"/>
          </w:rPr>
          <w:id w:val="-1716349565"/>
          <w:lock w:val="sdtLocked"/>
          <w:placeholder>
            <w:docPart w:val="DefaultPlaceholder_-1854013438"/>
          </w:placeholder>
          <w:dropDownList>
            <w:listItem w:displayText="Low" w:value="Low"/>
            <w:listItem w:displayText="Moderate" w:value="Moderate"/>
            <w:listItem w:displayText="High" w:value="High"/>
          </w:dropDownList>
        </w:sdtPr>
        <w:sdtContent>
          <w:r w:rsidR="00407168">
            <w:rPr>
              <w:rFonts w:ascii="Calibri" w:hAnsi="Calibri" w:cstheme="minorHAnsi"/>
              <w:b/>
              <w:bCs/>
              <w:sz w:val="20"/>
              <w:szCs w:val="20"/>
            </w:rPr>
            <w:t>Low</w:t>
          </w:r>
        </w:sdtContent>
      </w:sdt>
    </w:p>
    <w:tbl>
      <w:tblPr>
        <w:tblStyle w:val="TableGrid"/>
        <w:tblW w:w="13005" w:type="dxa"/>
        <w:tblLook w:val="04A0" w:firstRow="1" w:lastRow="0" w:firstColumn="1" w:lastColumn="0" w:noHBand="0" w:noVBand="1"/>
      </w:tblPr>
      <w:tblGrid>
        <w:gridCol w:w="2893"/>
        <w:gridCol w:w="3512"/>
        <w:gridCol w:w="3252"/>
        <w:gridCol w:w="3348"/>
      </w:tblGrid>
      <w:tr w:rsidR="00C27306" w:rsidRPr="008E51FF" w14:paraId="67411658" w14:textId="77777777" w:rsidTr="005D52B8">
        <w:tc>
          <w:tcPr>
            <w:tcW w:w="2893" w:type="dxa"/>
          </w:tcPr>
          <w:p w14:paraId="09AB23D3" w14:textId="77777777" w:rsidR="00C27306" w:rsidRPr="008E51FF" w:rsidRDefault="00C27306" w:rsidP="005D52B8">
            <w:pPr>
              <w:ind w:right="-426"/>
              <w:rPr>
                <w:rFonts w:asciiTheme="minorHAnsi" w:hAnsiTheme="minorHAnsi" w:cstheme="minorHAnsi"/>
                <w:b/>
                <w:bCs/>
                <w:iCs/>
              </w:rPr>
            </w:pPr>
            <w:r w:rsidRPr="008E51FF">
              <w:rPr>
                <w:rFonts w:asciiTheme="minorHAnsi" w:hAnsiTheme="minorHAnsi" w:cstheme="minorHAnsi"/>
                <w:b/>
                <w:bCs/>
                <w:iCs/>
              </w:rPr>
              <w:t>Compliance risk:</w:t>
            </w:r>
          </w:p>
        </w:tc>
        <w:tc>
          <w:tcPr>
            <w:tcW w:w="3512" w:type="dxa"/>
          </w:tcPr>
          <w:sdt>
            <w:sdtPr>
              <w:rPr>
                <w:rFonts w:cstheme="minorHAnsi"/>
                <w:i/>
              </w:rPr>
              <w:id w:val="-2116201778"/>
              <w:lock w:val="sdtLocked"/>
              <w:placeholder>
                <w:docPart w:val="214051E03E67420CAFE43CA182BBBE07"/>
              </w:placeholder>
              <w:showingPlcHdr/>
              <w:dropDownList>
                <w:listItem w:displayText="Low" w:value="Low"/>
                <w:listItem w:displayText="Moderate" w:value="Moderate"/>
                <w:listItem w:displayText="High" w:value="High"/>
              </w:dropDownList>
            </w:sdtPr>
            <w:sdtContent>
              <w:p w14:paraId="058A1306" w14:textId="116147B9" w:rsidR="00C27306" w:rsidRPr="001903F9" w:rsidRDefault="00A519A7" w:rsidP="005D52B8">
                <w:pPr>
                  <w:rPr>
                    <w:rFonts w:asciiTheme="minorHAnsi" w:hAnsiTheme="minorHAnsi" w:cstheme="minorHAnsi"/>
                    <w:i/>
                  </w:rPr>
                </w:pPr>
                <w:r w:rsidRPr="00E928F2">
                  <w:rPr>
                    <w:rStyle w:val="PlaceholderText"/>
                  </w:rPr>
                  <w:t>Choose an item.</w:t>
                </w:r>
              </w:p>
            </w:sdtContent>
          </w:sdt>
          <w:p w14:paraId="1D087797" w14:textId="77777777" w:rsidR="00C27306" w:rsidRPr="001903F9" w:rsidRDefault="00C27306" w:rsidP="005D52B8">
            <w:pPr>
              <w:jc w:val="center"/>
              <w:rPr>
                <w:rFonts w:asciiTheme="minorHAnsi" w:hAnsiTheme="minorHAnsi" w:cstheme="minorHAnsi"/>
              </w:rPr>
            </w:pPr>
            <w:r>
              <w:t>—</w:t>
            </w:r>
          </w:p>
        </w:tc>
        <w:tc>
          <w:tcPr>
            <w:tcW w:w="3252" w:type="dxa"/>
          </w:tcPr>
          <w:p w14:paraId="68E0AE59" w14:textId="77777777" w:rsidR="00C27306" w:rsidRPr="008E51FF" w:rsidRDefault="00C27306" w:rsidP="005D52B8">
            <w:pPr>
              <w:ind w:right="-426"/>
              <w:rPr>
                <w:rFonts w:asciiTheme="minorHAnsi" w:hAnsiTheme="minorHAnsi" w:cstheme="minorHAnsi"/>
                <w:b/>
                <w:bCs/>
                <w:iCs/>
              </w:rPr>
            </w:pPr>
            <w:r w:rsidRPr="008E51FF">
              <w:rPr>
                <w:rFonts w:asciiTheme="minorHAnsi" w:hAnsiTheme="minorHAnsi" w:cstheme="minorHAnsi"/>
                <w:b/>
                <w:bCs/>
                <w:iCs/>
              </w:rPr>
              <w:t>Seasonality of the business:</w:t>
            </w:r>
          </w:p>
        </w:tc>
        <w:tc>
          <w:tcPr>
            <w:tcW w:w="3347" w:type="dxa"/>
          </w:tcPr>
          <w:sdt>
            <w:sdtPr>
              <w:rPr>
                <w:rFonts w:cstheme="minorHAnsi"/>
                <w:i/>
              </w:rPr>
              <w:id w:val="1435940452"/>
              <w:lock w:val="sdtLocked"/>
              <w:placeholder>
                <w:docPart w:val="A83D35CCEAAE4E89974FCFB00BDA43F5"/>
              </w:placeholder>
              <w:showingPlcHdr/>
              <w:dropDownList>
                <w:listItem w:displayText="Seasonal" w:value="Seasonal"/>
                <w:listItem w:displayText="Non-seasonal" w:value="Non-seasonal"/>
              </w:dropDownList>
            </w:sdtPr>
            <w:sdtContent>
              <w:p w14:paraId="0E8D8C03" w14:textId="79ED9685" w:rsidR="00C27306" w:rsidRPr="008E51FF" w:rsidRDefault="00421154" w:rsidP="005D52B8">
                <w:pPr>
                  <w:rPr>
                    <w:rFonts w:asciiTheme="minorHAnsi" w:hAnsiTheme="minorHAnsi" w:cstheme="minorHAnsi"/>
                    <w:b/>
                    <w:bCs/>
                    <w:i/>
                  </w:rPr>
                </w:pPr>
                <w:r w:rsidRPr="00E928F2">
                  <w:rPr>
                    <w:rStyle w:val="PlaceholderText"/>
                  </w:rPr>
                  <w:t>Choose an item.</w:t>
                </w:r>
              </w:p>
            </w:sdtContent>
          </w:sdt>
          <w:p>
            <w:r>
              <w:t>—</w:t>
            </w:r>
          </w:p>
        </w:tc>
      </w:tr>
      <w:tr w:rsidR="00C27306" w:rsidRPr="008E51FF" w14:paraId="6B70D09E" w14:textId="77777777" w:rsidTr="005D52B8">
        <w:tc>
          <w:tcPr>
            <w:tcW w:w="2893" w:type="dxa"/>
          </w:tcPr>
          <w:p w14:paraId="47032435" w14:textId="77777777" w:rsidR="00C27306" w:rsidRPr="008E51FF" w:rsidRDefault="00C27306" w:rsidP="005D52B8">
            <w:pPr>
              <w:ind w:right="-104"/>
              <w:rPr>
                <w:rFonts w:asciiTheme="minorHAnsi" w:hAnsiTheme="minorHAnsi" w:cstheme="minorHAnsi"/>
                <w:b/>
                <w:bCs/>
                <w:iCs/>
              </w:rPr>
            </w:pPr>
            <w:r w:rsidRPr="008E51FF">
              <w:rPr>
                <w:rFonts w:asciiTheme="minorHAnsi" w:hAnsiTheme="minorHAnsi" w:cstheme="minorHAnsi"/>
                <w:b/>
                <w:bCs/>
                <w:iCs/>
                <w:lang w:val="en-US"/>
              </w:rPr>
              <w:t>FX risks, other exposures</w:t>
            </w:r>
            <w:r w:rsidRPr="008E51FF">
              <w:rPr>
                <w:rFonts w:asciiTheme="minorHAnsi" w:hAnsiTheme="minorHAnsi" w:cstheme="minorHAnsi"/>
                <w:b/>
                <w:bCs/>
                <w:iCs/>
              </w:rPr>
              <w:t>:</w:t>
            </w:r>
          </w:p>
        </w:tc>
        <w:tc>
          <w:tcPr>
            <w:tcW w:w="3512" w:type="dxa"/>
          </w:tcPr>
          <w:p w14:paraId="5E90D0DB" w14:textId="77777777" w:rsidR="00C27306" w:rsidRPr="008E51FF" w:rsidRDefault="00C27306" w:rsidP="005D52B8">
            <w:pPr>
              <w:rPr>
                <w:rFonts w:asciiTheme="minorHAnsi" w:hAnsiTheme="minorHAnsi" w:cstheme="minorHAnsi"/>
                <w:b/>
                <w:bCs/>
                <w:i/>
              </w:rPr>
            </w:pPr>
            <w:r w:rsidRPr="008E51FF">
              <w:rPr>
                <w:rFonts w:asciiTheme="minorHAnsi" w:hAnsiTheme="minorHAnsi" w:cstheme="minorHAnsi"/>
                <w:i/>
              </w:rPr>
              <w:t>—</w:t>
            </w:r>
          </w:p>
        </w:tc>
        <w:tc>
          <w:tcPr>
            <w:tcW w:w="3252" w:type="dxa"/>
          </w:tcPr>
          <w:p w14:paraId="74A945F6" w14:textId="77777777" w:rsidR="00C27306" w:rsidRPr="008E51FF" w:rsidRDefault="00C27306" w:rsidP="005D52B8">
            <w:pPr>
              <w:ind w:right="-426"/>
              <w:rPr>
                <w:rFonts w:asciiTheme="minorHAnsi" w:hAnsiTheme="minorHAnsi" w:cstheme="minorHAnsi"/>
                <w:b/>
                <w:bCs/>
                <w:iCs/>
              </w:rPr>
            </w:pPr>
            <w:r w:rsidRPr="008E51FF">
              <w:rPr>
                <w:rFonts w:asciiTheme="minorHAnsi" w:hAnsiTheme="minorHAnsi" w:cstheme="minorHAnsi"/>
                <w:b/>
                <w:bCs/>
                <w:iCs/>
              </w:rPr>
              <w:t>Concentration risk:</w:t>
            </w:r>
          </w:p>
        </w:tc>
        <w:tc>
          <w:tcPr>
            <w:tcW w:w="3347" w:type="dxa"/>
          </w:tcPr>
          <w:p w14:paraId="1CEDD77E" w14:textId="77777777" w:rsidR="00C27306" w:rsidRPr="008E51FF" w:rsidRDefault="00C27306" w:rsidP="005D52B8">
            <w:pPr>
              <w:jc w:val="both"/>
              <w:rPr>
                <w:rFonts w:asciiTheme="minorHAnsi" w:hAnsiTheme="minorHAnsi" w:cstheme="minorHAnsi"/>
                <w:i/>
              </w:rPr>
            </w:pPr>
            <w:r w:rsidRPr="008E51FF">
              <w:rPr>
                <w:rFonts w:asciiTheme="minorHAnsi" w:hAnsiTheme="minorHAnsi" w:cstheme="minorHAnsi"/>
                <w:i/>
              </w:rPr>
              <w:t>—</w:t>
            </w:r>
          </w:p>
        </w:tc>
      </w:tr>
      <w:tr w:rsidR="00C27306" w:rsidRPr="008E51FF" w14:paraId="54C7A83E" w14:textId="77777777" w:rsidTr="005D52B8">
        <w:tc>
          <w:tcPr>
            <w:tcW w:w="2893" w:type="dxa"/>
          </w:tcPr>
          <w:p w14:paraId="6200210D" w14:textId="77777777" w:rsidR="00C27306" w:rsidRPr="008E51FF" w:rsidRDefault="00C27306" w:rsidP="005D52B8">
            <w:pPr>
              <w:ind w:right="-426"/>
              <w:rPr>
                <w:rFonts w:asciiTheme="minorHAnsi" w:hAnsiTheme="minorHAnsi" w:cstheme="minorHAnsi"/>
                <w:b/>
                <w:bCs/>
                <w:iCs/>
              </w:rPr>
            </w:pPr>
            <w:r w:rsidRPr="008E51FF">
              <w:rPr>
                <w:rFonts w:asciiTheme="minorHAnsi" w:hAnsiTheme="minorHAnsi" w:cstheme="minorHAnsi"/>
                <w:b/>
                <w:bCs/>
                <w:iCs/>
              </w:rPr>
              <w:t>Business Cyclicity:</w:t>
            </w:r>
          </w:p>
        </w:tc>
        <w:tc>
          <w:tcPr>
            <w:tcW w:w="3512" w:type="dxa"/>
          </w:tcPr>
          <w:sdt>
            <w:sdtPr>
              <w:rPr>
                <w:rFonts w:cstheme="minorHAnsi"/>
                <w:i/>
              </w:rPr>
              <w:id w:val="-1361123708"/>
              <w:lock w:val="sdtLocked"/>
              <w:placeholder>
                <w:docPart w:val="A947C6DE1C6241C79675F7BCFB1206CE"/>
              </w:placeholder>
              <w:showingPlcHdr/>
              <w:dropDownList>
                <w:listItem w:displayText="Cyclical" w:value="Cyclical"/>
                <w:listItem w:displayText="Non-cyclical" w:value="Non-cyclical"/>
                <w:listItem w:displayText="Counter-cyclical" w:value="Counter-cyclical"/>
              </w:dropDownList>
            </w:sdtPr>
            <w:sdtContent>
              <w:p w14:paraId="3A00E00A" w14:textId="78AAB0E5" w:rsidR="00C27306" w:rsidRPr="008E51FF" w:rsidRDefault="007A726A" w:rsidP="005D52B8">
                <w:pPr>
                  <w:rPr>
                    <w:rFonts w:asciiTheme="minorHAnsi" w:hAnsiTheme="minorHAnsi" w:cstheme="minorHAnsi"/>
                    <w:b/>
                    <w:bCs/>
                    <w:i/>
                  </w:rPr>
                </w:pPr>
                <w:r w:rsidRPr="00E928F2">
                  <w:rPr>
                    <w:rStyle w:val="PlaceholderText"/>
                  </w:rPr>
                  <w:t>Choose an item.</w:t>
                </w:r>
              </w:p>
            </w:sdtContent>
          </w:sdt>
          <w:p>
            <w:r>
              <w:t>—</w:t>
            </w:r>
          </w:p>
        </w:tc>
        <w:tc>
          <w:tcPr>
            <w:tcW w:w="3252" w:type="dxa"/>
          </w:tcPr>
          <w:p w14:paraId="4E9FC430" w14:textId="77777777" w:rsidR="00C27306" w:rsidRPr="008E51FF" w:rsidRDefault="00C27306" w:rsidP="005D52B8">
            <w:pPr>
              <w:ind w:right="-426"/>
              <w:rPr>
                <w:rFonts w:asciiTheme="minorHAnsi" w:hAnsiTheme="minorHAnsi" w:cstheme="minorHAnsi"/>
                <w:b/>
                <w:bCs/>
                <w:iCs/>
              </w:rPr>
            </w:pPr>
            <w:r w:rsidRPr="008E51FF">
              <w:rPr>
                <w:rFonts w:asciiTheme="minorHAnsi" w:hAnsiTheme="minorHAnsi" w:cstheme="minorHAnsi"/>
                <w:b/>
                <w:bCs/>
                <w:iCs/>
              </w:rPr>
              <w:t>Internal transactions (intragroup risk):</w:t>
            </w:r>
          </w:p>
        </w:tc>
        <w:tc>
          <w:tcPr>
            <w:tcW w:w="3347" w:type="dxa"/>
          </w:tcPr>
          <w:p w14:paraId="62363622" w14:textId="77777777" w:rsidR="00C27306" w:rsidRPr="008E51FF" w:rsidRDefault="00C27306" w:rsidP="005D52B8">
            <w:pPr>
              <w:rPr>
                <w:rFonts w:asciiTheme="minorHAnsi" w:hAnsiTheme="minorHAnsi" w:cstheme="minorHAnsi"/>
                <w:b/>
                <w:bCs/>
                <w:i/>
              </w:rPr>
            </w:pPr>
            <w:r w:rsidRPr="008E51FF">
              <w:rPr>
                <w:rFonts w:asciiTheme="minorHAnsi" w:hAnsiTheme="minorHAnsi" w:cstheme="minorHAnsi"/>
                <w:i/>
              </w:rPr>
              <w:t>—</w:t>
            </w:r>
          </w:p>
        </w:tc>
      </w:tr>
    </w:tbl>
    <w:p w14:paraId="258AB811" w14:textId="77777777" w:rsidR="00063D78" w:rsidRDefault="00063D78" w:rsidP="00063D78">
      <w:pPr>
        <w:pStyle w:val="CommentText"/>
        <w:jc w:val="both"/>
        <w:rPr>
          <w:rFonts w:ascii="Calibri" w:hAnsi="Calibri"/>
          <w:i/>
        </w:rPr>
      </w:pPr>
      <w:r>
        <w:t>Mijoz guruh tuzilmasida faoliyat yuritadi, unga ООО “CONGLOMATARE PRODUCTS” kabi affillangan subyektlar kiradi, ular guruhning kredit liniyalari uchun ko‘chmas mulk garovi taqdim etadi. Guruhning konsolidatsiyalashgan kredit ekspozitsiyasi sezilarli bo‘lib, umumiy guruh limiti 1,000,000 AQSh dollarini tashkil etadi va boshqa banklardagi qo‘shimcha muddati o‘tmagan majburiyatlar 2025 yil dekabr holatiga ko‘ra 4,944,559.4 ming so‘mni tashkil qiladi. Guruhga tegishli aktivlardan garov sifatida foydalanish orqali ichki ko‘mak mavjudligi ko‘rinadi, biroq mavjud hujjatlarda aniq kross-kafolatlar yoki muhim intraguruh bitimlari ko‘rsatilmagan. Guruhning moliyaviy holati o‘rtacha bo‘lib, kapital yetarliligi koeffitsienti 0.2x va likvidlik koeffitsienti 4.2x darajasida, barqarorlik reytingi esa 'B - O‘rtacha' deb baholangan. Guruh ichki resurslardan foydalanish qobiliyatini namoyon qilgan bo‘lsa-da, umumiy risk profili yuqori leverage va kredit ta’minoti uchun guruh aktivlariga tayanish hisobiga oshgan.</w:t>
      </w:r>
    </w:p>
    <w:p w14:paraId="096419B6" w14:textId="77777777" w:rsidR="00063D78" w:rsidRDefault="00063D78" w:rsidP="006B58B5">
      <w:pPr>
        <w:pStyle w:val="CommentText"/>
        <w:jc w:val="both"/>
        <w:rPr>
          <w:rFonts w:ascii="Calibri" w:hAnsi="Calibri"/>
          <w:i/>
        </w:rPr>
      </w:pPr>
    </w:p>
    <w:p w14:paraId="003D1A9D" w14:textId="77777777" w:rsidR="002B62EA" w:rsidRDefault="002B62EA" w:rsidP="006B58B5">
      <w:pPr>
        <w:pStyle w:val="CommentText"/>
        <w:jc w:val="both"/>
        <w:rPr>
          <w:rFonts w:ascii="Calibri" w:hAnsi="Calibri"/>
          <w:i/>
        </w:rPr>
      </w:pPr>
    </w:p>
    <w:p w14:paraId="08CEFDC0" w14:textId="77777777" w:rsidR="002B62EA" w:rsidRDefault="002B62EA" w:rsidP="006B58B5">
      <w:pPr>
        <w:pStyle w:val="CommentText"/>
        <w:jc w:val="both"/>
        <w:rPr>
          <w:rFonts w:ascii="Calibri" w:hAnsi="Calibri"/>
          <w:i/>
        </w:rPr>
      </w:pPr>
    </w:p>
    <w:p w14:paraId="798DD13E" w14:textId="562328EA" w:rsidR="00F7043A" w:rsidRPr="00063D78" w:rsidRDefault="00F7043A" w:rsidP="006B58B5">
      <w:pPr>
        <w:pStyle w:val="CommentText"/>
        <w:jc w:val="both"/>
        <w:rPr>
          <w:rFonts w:ascii="Calibri" w:hAnsi="Calibri"/>
          <w:b/>
          <w:bCs/>
          <w:i/>
        </w:rPr>
      </w:pPr>
      <w:r w:rsidRPr="00063D78">
        <w:rPr>
          <w:rFonts w:ascii="Calibri" w:hAnsi="Calibri"/>
          <w:b/>
          <w:bCs/>
          <w:i/>
        </w:rPr>
        <w:t>Business model risk</w:t>
      </w:r>
      <w:r w:rsidRPr="00063D78">
        <w:rPr>
          <w:rFonts w:ascii="Calibri" w:hAnsi="Calibri"/>
          <w:b/>
          <w:bCs/>
          <w:i/>
        </w:rPr>
      </w:r>
      <w:r w:rsidRPr="00063D78">
        <w:rPr>
          <w:rFonts w:ascii="Calibri" w:hAnsi="Calibri"/>
          <w:b/>
          <w:bCs/>
          <w:i/>
        </w:rPr>
      </w:r>
      <w:sdt>
        <w:sdtPr>
          <w:rPr>
            <w:rFonts w:ascii="Calibri" w:hAnsi="Calibri"/>
            <w:b/>
            <w:bCs/>
            <w:i/>
          </w:rPr>
          <w:id w:val="-1809399066"/>
          <w:lock w:val="sdtLocked"/>
          <w:placeholder>
            <w:docPart w:val="DefaultPlaceholder_-1854013438"/>
          </w:placeholder>
          <w:dropDownList>
            <w:listItem w:displayText="Low " w:value="Low "/>
            <w:listItem w:displayText="Moderate" w:value="Moderate"/>
            <w:listItem w:displayText="High" w:value="High"/>
          </w:dropDownList>
        </w:sdtPr>
        <w:sdtContent>
          <w:r w:rsidR="00407168">
            <w:rPr>
              <w:rFonts w:ascii="Calibri" w:hAnsi="Calibri"/>
              <w:b/>
              <w:bCs/>
              <w:i/>
            </w:rPr>
            <w:t xml:space="preserve">Low </w:t>
          </w:r>
        </w:sdtContent>
      </w:sdt>
    </w:p>
    <w:p w14:paraId="6075BEEF" w14:textId="77777777" w:rsidR="00F843F2" w:rsidRDefault="00F843F2" w:rsidP="006B58B5">
      <w:pPr>
        <w:pStyle w:val="CommentText"/>
        <w:jc w:val="both"/>
        <w:rPr>
          <w:rFonts w:ascii="Calibri" w:hAnsi="Calibri"/>
          <w:i/>
        </w:rPr>
      </w:pPr>
      <w:r>
        <w:t>Kompaniya o‘z faoliyatini alkogolsiz ichimliklarni ulgurji tarqatish sohasiga asoslangan barqaror biznes modeli orqali olib boradi. Ushbu sektor yuqori aylanish va barqaror talab bilan ajralib turadi, ayniqsa O‘zbekistonning issiq iqlimi hisobga olinganda. Kompaniyaning daromadi izchil o‘sib bormoqda, 2025-yilda yiliga 13% o‘sish kutilmoqda va o‘rtacha yillik o‘sish sur’ati 18–20% ni tashkil etadi, bu esa kuchli bozor talabi va samarali bozor joylashuvini aks ettiradi. Biznesning asosiy ustunliklaridan biri yirik yetkazib beruvchi — "Coca-Cola Ichimligi Uzbekistan" bilan rasmiy distribyutorlik shartnomasiga ega bo‘lishidir, bu esa kompaniyaning raqobatbardoshligini va bozordagi mavqeini mustahkamlaydi. Biroq, yagona asosiy yetkazib beruvchiga tayanish ta’minot zanjirining konsentratsiya xavfini yuzaga keltiradi, lekin uzoq muddatli hamkorlik va shakllangan ish tajribasi ushbu zaiflikni qisman yumshatadi. Umuman olganda, kompaniyaning biznes modeli barqaror, kuchli talab asoslari va himoyalangan raqobatbardosh pozitsiya bilan qo‘llab-quvvatlanadi, biroq yetkazib beruvchiga bog‘liqlik doimiy monitoringni talab qiladi.</w:t>
      </w:r>
    </w:p>
    <w:p w14:paraId="21AEC29F" w14:textId="77777777" w:rsidR="002B62EA" w:rsidRDefault="002B62EA" w:rsidP="006B58B5">
      <w:pPr>
        <w:pStyle w:val="CommentText"/>
        <w:jc w:val="both"/>
        <w:rPr>
          <w:rFonts w:ascii="Calibri" w:hAnsi="Calibri"/>
          <w:i/>
        </w:rPr>
      </w:pPr>
    </w:p>
    <w:p w14:paraId="1A7EBFB2" w14:textId="77777777" w:rsidR="002B62EA" w:rsidRPr="00A6113C" w:rsidRDefault="002B62EA" w:rsidP="006B58B5">
      <w:pPr>
        <w:pStyle w:val="CommentText"/>
        <w:jc w:val="both"/>
        <w:rPr>
          <w:rFonts w:ascii="Calibri" w:hAnsi="Calibri"/>
          <w:i/>
        </w:rPr>
      </w:pPr>
    </w:p>
    <w:p w14:paraId="1E3AB586" w14:textId="44CB0DBE" w:rsidR="006B58B5" w:rsidRPr="00A6113C" w:rsidRDefault="006B58B5" w:rsidP="006B58B5">
      <w:pPr>
        <w:spacing w:after="0" w:line="240" w:lineRule="auto"/>
        <w:jc w:val="both"/>
        <w:rPr>
          <w:rFonts w:ascii="Calibri" w:hAnsi="Calibri" w:cstheme="minorHAnsi"/>
          <w:b/>
          <w:bCs/>
          <w:sz w:val="20"/>
          <w:szCs w:val="20"/>
        </w:rPr>
      </w:pPr>
      <w:r w:rsidRPr="00A86FF2">
        <w:rPr>
          <w:rFonts w:ascii="Calibri" w:hAnsi="Calibri" w:cstheme="minorHAnsi"/>
          <w:b/>
          <w:color w:val="000000"/>
          <w:sz w:val="20"/>
          <w:szCs w:val="20"/>
        </w:rPr>
        <w:t>Sectorial/Market risk →</w:t>
      </w:r>
      <w:r w:rsidR="009C0D8A" w:rsidRPr="00A86FF2">
        <w:rPr>
          <w:rFonts w:ascii="Calibri" w:hAnsi="Calibri" w:cstheme="minorHAnsi"/>
          <w:b/>
          <w:color w:val="000000"/>
          <w:sz w:val="20"/>
          <w:szCs w:val="20"/>
        </w:rPr>
      </w:r>
      <w:r w:rsidRPr="00A86FF2">
        <w:rPr>
          <w:rFonts w:ascii="Calibri" w:hAnsi="Calibri" w:cstheme="minorHAnsi"/>
          <w:b/>
          <w:color w:val="000000"/>
          <w:sz w:val="20"/>
          <w:szCs w:val="20"/>
        </w:rPr>
      </w:r>
      <w:r w:rsidRPr="00A86FF2">
        <w:rPr>
          <w:rFonts w:ascii="Calibri" w:hAnsi="Calibri" w:cstheme="minorHAnsi"/>
          <w:b/>
          <w:bCs/>
          <w:sz w:val="20"/>
          <w:szCs w:val="20"/>
        </w:rPr>
      </w:r>
      <w:sdt>
        <w:sdtPr>
          <w:rPr>
            <w:rFonts w:ascii="Calibri" w:hAnsi="Calibri" w:cstheme="minorHAnsi"/>
            <w:b/>
            <w:bCs/>
            <w:sz w:val="20"/>
            <w:szCs w:val="20"/>
          </w:rPr>
          <w:id w:val="670993533"/>
          <w:lock w:val="sdtLocked"/>
          <w:placeholder>
            <w:docPart w:val="DefaultPlaceholder_-1854013438"/>
          </w:placeholder>
          <w:dropDownList>
            <w:listItem w:displayText="Low" w:value="Low"/>
            <w:listItem w:displayText="Moderate" w:value="Moderate"/>
            <w:listItem w:displayText="High" w:value="High"/>
          </w:dropDownList>
        </w:sdtPr>
        <w:sdtContent>
          <w:r w:rsidR="00874A04">
            <w:rPr>
              <w:rFonts w:ascii="Calibri" w:hAnsi="Calibri" w:cstheme="minorHAnsi"/>
              <w:b/>
              <w:bCs/>
              <w:sz w:val="20"/>
              <w:szCs w:val="20"/>
            </w:rPr>
            <w:t>Low</w:t>
          </w:r>
        </w:sdtContent>
      </w:sdt>
    </w:p>
    <w:p w14:paraId="62776CF0" w14:textId="77777777" w:rsidR="00173739" w:rsidRDefault="00173739" w:rsidP="006B58B5">
      <w:pPr>
        <w:pStyle w:val="CommentText"/>
        <w:jc w:val="both"/>
        <w:rPr>
          <w:rFonts w:ascii="Calibri" w:hAnsi="Calibri"/>
          <w:i/>
        </w:rPr>
      </w:pPr>
      <w:r>
        <w:t>O‘zbekistonning ulgurji alkogolsiz ichimliklar sektori barqaror o‘sishni namoyon qilmoqda, bu esa mamlakatning issiq iqlimi sababli doimiy yuqori talab bilan ta’minlanadi. Kompaniya yuqori aylanish va barqaror daromad o‘sishi bilan tavsiflanadigan bozorda faoliyat yuritadi, 2025 yil uchun kutilayotgan savdo hajmi yiliga 13% ga o‘sishi va o‘rtacha yillik o‘sish sur’ati 18–20% bo‘lishi prognoz qilinmoqda. Me’yoriy muhit barqaror bo‘lib, kompaniya amaldagi talablarni to‘liq bajargan va muhim muvofiqlik yoki tarif xavflariga duch kelmaydi. Sektor raqobatbardosh bo‘lsa-da, kompaniyaning bozordagi mustahkam mavqei va kuchli reytingi—sohasida daromad bo‘yicha 113-o‘rin—uning barqarorligini ta’minlaydi. Makroiqtisodiy sezgirlik mahsulotning zaruriyati va sektorning isbotlangan barqarorligi bilan yumshatiladi, biroq likvidlik va aylanma kapitalni doimiy monitoring qilish tavsiya etiladi, chunki zaxira darajalari va operatsion sikllar o‘zgarib boradi.</w:t>
      </w:r>
    </w:p>
    <w:p w14:paraId="32AB47CD" w14:textId="77777777" w:rsidR="002B62EA" w:rsidRDefault="002B62EA" w:rsidP="006B58B5">
      <w:pPr>
        <w:pStyle w:val="CommentText"/>
        <w:jc w:val="both"/>
        <w:rPr>
          <w:rFonts w:ascii="Calibri" w:hAnsi="Calibri"/>
          <w:i/>
        </w:rPr>
      </w:pPr>
    </w:p>
    <w:p w14:paraId="26C394A2" w14:textId="77777777" w:rsidR="002B62EA" w:rsidRPr="008261A0" w:rsidRDefault="002B62EA" w:rsidP="006B58B5">
      <w:pPr>
        <w:pStyle w:val="CommentText"/>
        <w:jc w:val="both"/>
        <w:rPr>
          <w:rFonts w:ascii="Calibri" w:hAnsi="Calibri"/>
          <w:b/>
          <w:bCs/>
          <w:i/>
        </w:rPr>
      </w:pPr>
    </w:p>
    <w:p w14:paraId="05C77F0C" w14:textId="548D1D6E" w:rsidR="00173739" w:rsidRPr="008261A0" w:rsidRDefault="00173739" w:rsidP="00812955">
      <w:pPr>
        <w:spacing w:after="0"/>
        <w:ind w:right="-426"/>
        <w:jc w:val="both"/>
        <w:rPr>
          <w:rFonts w:ascii="Calibri" w:eastAsia="Times New Roman" w:hAnsi="Calibri" w:cs="Times New Roman"/>
          <w:b/>
          <w:bCs/>
          <w:i/>
          <w:sz w:val="20"/>
          <w:szCs w:val="20"/>
        </w:rPr>
      </w:pPr>
      <w:r w:rsidRPr="008261A0">
        <w:rPr>
          <w:rFonts w:ascii="Calibri" w:eastAsia="Times New Roman" w:hAnsi="Calibri" w:cs="Times New Roman"/>
          <w:b/>
          <w:bCs/>
          <w:i/>
          <w:sz w:val="20"/>
          <w:szCs w:val="20"/>
        </w:rPr>
        <w:t>Industry profile</w:t>
      </w:r>
      <w:r w:rsidR="001A6E6F" w:rsidRPr="008261A0">
        <w:rPr>
          <w:rFonts w:ascii="Calibri" w:eastAsia="Times New Roman" w:hAnsi="Calibri" w:cs="Times New Roman"/>
          <w:b/>
          <w:bCs/>
          <w:i/>
          <w:sz w:val="20"/>
          <w:szCs w:val="20"/>
        </w:rPr>
      </w:r>
    </w:p>
    <w:p w14:paraId="36D8D2C5" w14:textId="77777777" w:rsidR="002B62EA" w:rsidRDefault="002B62EA" w:rsidP="009733F9">
      <w:pPr>
        <w:spacing w:after="0"/>
        <w:ind w:right="-426"/>
        <w:jc w:val="both"/>
        <w:rPr>
          <w:rFonts w:ascii="Calibri" w:eastAsia="Times New Roman" w:hAnsi="Calibri" w:cs="Times New Roman"/>
          <w:i/>
          <w:sz w:val="20"/>
          <w:szCs w:val="20"/>
        </w:rPr>
      </w:pPr>
      <w:r>
        <w:t>O‘zbekistonning ulgurji alkogolsiz ichimliklar sanoati barqaror va uzluksiz o‘sishni namoyon qilmoqda, bu esa kuchli iste’molchi talabiga asoslanadi. Sektor mamlakatning asosan issiq iqlimi tufayli foyda ko‘radi, bu esa alkogolsiz ichimliklarning doimiy yuqori iste’molini ta’minlaydi. Ushbu segmentda daromad 2025 yilda taxminan 125,3 milliard UZS ga yetishi kutilmoqda, bu yiliga 13% o‘sishni anglatadi va o‘rtacha yillik o‘sish sur’ati 18–20% ni tashkil etadi. Bu ijobiy tendensiya bozordagi barqaror talab va sektorning yuqori aylanma xususiyatlarini aks ettiradi.</w:t>
      </w:r>
    </w:p>
    <w:p>
      <w:r>
        <w:t>Asosiy sanoat omillariga iqlimiy sharoitlar kiradi, bu esa yil davomida talabni ta’minlaydi, shuningdek, ulgurji savdoga xos bo‘lgan tovar aylanmasining yuqori tezligi hisoblanadi. Bozor shakllangan taqsimot tarmoqlari va tajribali operatorlar bilan ajralib turadi, bu esa yangi ishtirokchilar uchun o‘xshash miqyos va samaradorlikka erishishda o‘rtacha to‘siqlarni yuzaga keltirishi mumkin. Me’yoriy nazorat mavjud, biroq jiddiy cheklovlar keltirib chiqarmaydi, buni kompaniyaning amaldagi talablarni to‘liq bajarayotgani va muvofiqlik xavflariga duch kelmayotgani tasdiqlaydi. Sanoat asosan mahalliy faoliyatga yo‘naltirilgani sababli global tarif beqarorligidan deyarli himoyalangan.</w:t>
      </w:r>
    </w:p>
    <w:p>
      <w:r>
        <w:t>Umuman olganda, O‘zbekistonda ulgurji alkogolsiz ichimliklar sektori o‘sish uchun qulay muhitni taklif etadi, bu esa kuchli talab asoslari va barqaror me’yoriy muhit bilan qo‘llab-quvvatlanadi.</w:t>
      </w:r>
    </w:p>
    <w:p w14:paraId="161DFE3B" w14:textId="77777777" w:rsidR="002B62EA" w:rsidRDefault="002B62EA" w:rsidP="009733F9">
      <w:pPr>
        <w:spacing w:after="0"/>
        <w:ind w:right="-426"/>
        <w:jc w:val="both"/>
        <w:rPr>
          <w:rFonts w:ascii="Calibri" w:eastAsia="Times New Roman" w:hAnsi="Calibri" w:cs="Times New Roman"/>
          <w:i/>
          <w:sz w:val="20"/>
          <w:szCs w:val="20"/>
        </w:rPr>
      </w:pPr>
    </w:p>
    <w:p w14:paraId="0372727A" w14:textId="371AB1A6" w:rsidR="001A6E6F" w:rsidRPr="00DA673F" w:rsidRDefault="00EB6A5D" w:rsidP="009733F9">
      <w:pPr>
        <w:spacing w:after="0"/>
        <w:ind w:right="-426"/>
        <w:jc w:val="both"/>
        <w:rPr>
          <w:rFonts w:ascii="Calibri" w:eastAsia="Times New Roman" w:hAnsi="Calibri" w:cs="Times New Roman"/>
          <w:i/>
          <w:sz w:val="20"/>
          <w:szCs w:val="20"/>
        </w:rPr>
      </w:pPr>
      <w:r>
        <w:rPr>
          <w:rFonts w:ascii="Calibri" w:eastAsia="Times New Roman" w:hAnsi="Calibri" w:cs="Times New Roman"/>
          <w:i/>
          <w:sz w:val="20"/>
          <w:szCs w:val="20"/>
        </w:rPr>
        <w:t xml:space="preserve"> </w:t>
      </w:r>
    </w:p>
    <w:p w14:paraId="19825364" w14:textId="77777777" w:rsidR="00173739" w:rsidRPr="008261A0" w:rsidRDefault="00173739" w:rsidP="00265C65">
      <w:pPr>
        <w:spacing w:after="0"/>
        <w:ind w:right="-426"/>
        <w:jc w:val="both"/>
        <w:rPr>
          <w:rFonts w:ascii="Calibri" w:eastAsia="Times New Roman" w:hAnsi="Calibri" w:cs="Times New Roman"/>
          <w:b/>
          <w:bCs/>
          <w:i/>
          <w:sz w:val="20"/>
          <w:szCs w:val="20"/>
        </w:rPr>
      </w:pPr>
      <w:r w:rsidRPr="008261A0">
        <w:rPr>
          <w:rFonts w:ascii="Calibri" w:eastAsia="Times New Roman" w:hAnsi="Calibri" w:cs="Times New Roman"/>
          <w:b/>
          <w:bCs/>
          <w:i/>
          <w:sz w:val="20"/>
          <w:szCs w:val="20"/>
        </w:rPr>
        <w:t>Market profile</w:t>
      </w:r>
    </w:p>
    <w:tbl>
      <w:tblPr>
        <w:tblStyle w:val="TableGrid"/>
        <w:tblW w:w="13005" w:type="dxa"/>
        <w:tblLook w:val="04A0" w:firstRow="1" w:lastRow="0" w:firstColumn="1" w:lastColumn="0" w:noHBand="0" w:noVBand="1"/>
      </w:tblPr>
      <w:tblGrid>
        <w:gridCol w:w="2323"/>
        <w:gridCol w:w="3884"/>
        <w:gridCol w:w="3073"/>
        <w:gridCol w:w="3725"/>
      </w:tblGrid>
      <w:tr w:rsidR="00A86FF2" w14:paraId="0A220571" w14:textId="77777777" w:rsidTr="009733F9">
        <w:tc>
          <w:tcPr>
            <w:tcW w:w="2323" w:type="dxa"/>
          </w:tcPr>
          <w:p w14:paraId="7AE283FF" w14:textId="3FEFF827" w:rsidR="00A86FF2" w:rsidRDefault="00A86FF2" w:rsidP="00EB55E2">
            <w:pPr>
              <w:ind w:right="-426"/>
              <w:rPr>
                <w:rFonts w:ascii="Calibri" w:hAnsi="Calibri"/>
                <w:b/>
                <w:bCs/>
                <w:i/>
              </w:rPr>
            </w:pPr>
            <w:r w:rsidRPr="00F13157">
              <w:rPr>
                <w:rFonts w:ascii="Calibri" w:hAnsi="Calibri"/>
                <w:b/>
                <w:bCs/>
                <w:i/>
              </w:rPr>
              <w:t>Product need:</w:t>
            </w:r>
          </w:p>
        </w:tc>
        <w:tc>
          <w:tcPr>
            <w:tcW w:w="3884" w:type="dxa"/>
          </w:tcPr>
          <w:sdt>
            <w:sdtPr>
              <w:rPr>
                <w:rFonts w:ascii="Calibri" w:hAnsi="Calibri"/>
                <w:i/>
              </w:rPr>
              <w:id w:val="-620990599"/>
              <w:placeholder>
                <w:docPart w:val="D47E721D97B44D48A4F344F1FE3FA6CA"/>
              </w:placeholder>
              <w:showingPlcHdr/>
              <w:dropDownList>
                <w:listItem w:displayText="Necessary" w:value="Necessary"/>
                <w:listItem w:displayText="Changing demand" w:value="Changing demand"/>
              </w:dropDownList>
            </w:sdtPr>
            <w:sdtContent>
              <w:p w14:paraId="57FBD7FF" w14:textId="30EDCF99" w:rsidR="00A86FF2" w:rsidRDefault="008E5006" w:rsidP="00EB55E2">
                <w:pPr>
                  <w:rPr>
                    <w:rFonts w:ascii="Calibri" w:hAnsi="Calibri"/>
                    <w:b/>
                    <w:bCs/>
                    <w:i/>
                  </w:rPr>
                </w:pPr>
                <w:r w:rsidRPr="00E928F2">
                  <w:rPr>
                    <w:rStyle w:val="PlaceholderText"/>
                  </w:rPr>
                  <w:t>Choose an item.</w:t>
                </w:r>
              </w:p>
            </w:sdtContent>
          </w:sdt>
          <w:p>
            <w:r>
              <w:t>—</w:t>
            </w:r>
          </w:p>
        </w:tc>
        <w:tc>
          <w:tcPr>
            <w:tcW w:w="3073" w:type="dxa"/>
          </w:tcPr>
          <w:p w14:paraId="4D7798B3" w14:textId="76E68D39" w:rsidR="00A86FF2" w:rsidRDefault="00A86FF2" w:rsidP="00EB55E2">
            <w:pPr>
              <w:ind w:right="-426"/>
              <w:rPr>
                <w:rFonts w:ascii="Calibri" w:hAnsi="Calibri"/>
                <w:b/>
                <w:bCs/>
                <w:i/>
              </w:rPr>
            </w:pPr>
            <w:r w:rsidRPr="002F71B7">
              <w:rPr>
                <w:rFonts w:ascii="Calibri" w:hAnsi="Calibri"/>
                <w:b/>
                <w:bCs/>
                <w:i/>
              </w:rPr>
              <w:t>Customers</w:t>
            </w:r>
            <w:r>
              <w:rPr>
                <w:rFonts w:ascii="Calibri" w:hAnsi="Calibri"/>
                <w:i/>
              </w:rPr>
              <w:t>:</w:t>
            </w:r>
          </w:p>
        </w:tc>
        <w:tc>
          <w:tcPr>
            <w:tcW w:w="3725" w:type="dxa"/>
          </w:tcPr>
          <w:sdt>
            <w:sdtPr>
              <w:rPr>
                <w:rFonts w:ascii="Calibri" w:hAnsi="Calibri"/>
                <w:i/>
              </w:rPr>
              <w:id w:val="-395896109"/>
              <w:placeholder>
                <w:docPart w:val="BB69FBC714694F3F8170E44AD1B64BD1"/>
              </w:placeholder>
              <w:showingPlcHdr/>
              <w:dropDownList>
                <w:listItem w:displayText="Growing" w:value="Growing"/>
                <w:listItem w:displayText="Stable" w:value="Stable"/>
                <w:listItem w:displayText="Declining" w:value="Declining"/>
              </w:dropDownList>
            </w:sdtPr>
            <w:sdtContent>
              <w:p w14:paraId="5EEECC57" w14:textId="021B64D3" w:rsidR="00A86FF2" w:rsidRDefault="00AF7C6D" w:rsidP="00D547D6">
                <w:pPr>
                  <w:rPr>
                    <w:rFonts w:ascii="Calibri" w:hAnsi="Calibri"/>
                    <w:b/>
                    <w:bCs/>
                    <w:i/>
                  </w:rPr>
                </w:pPr>
                <w:r w:rsidRPr="00E928F2">
                  <w:rPr>
                    <w:rStyle w:val="PlaceholderText"/>
                  </w:rPr>
                  <w:t>Choose an item.</w:t>
                </w:r>
              </w:p>
            </w:sdtContent>
          </w:sdt>
          <w:p>
            <w:r>
              <w:t>—</w:t>
            </w:r>
          </w:p>
        </w:tc>
      </w:tr>
      <w:tr w:rsidR="00A86FF2" w14:paraId="0337590D" w14:textId="77777777" w:rsidTr="009733F9">
        <w:tc>
          <w:tcPr>
            <w:tcW w:w="2323" w:type="dxa"/>
          </w:tcPr>
          <w:p w14:paraId="56377FBD" w14:textId="32266981" w:rsidR="00A86FF2" w:rsidRDefault="00A86FF2" w:rsidP="00EB55E2">
            <w:pPr>
              <w:ind w:right="-426"/>
              <w:rPr>
                <w:rFonts w:ascii="Calibri" w:hAnsi="Calibri"/>
                <w:b/>
                <w:bCs/>
                <w:i/>
              </w:rPr>
            </w:pPr>
            <w:r w:rsidRPr="00F13157">
              <w:rPr>
                <w:rFonts w:ascii="Calibri" w:hAnsi="Calibri"/>
                <w:b/>
                <w:bCs/>
                <w:i/>
              </w:rPr>
              <w:t>Competition:</w:t>
            </w:r>
          </w:p>
        </w:tc>
        <w:tc>
          <w:tcPr>
            <w:tcW w:w="3884" w:type="dxa"/>
          </w:tcPr>
          <w:sdt>
            <w:sdtPr>
              <w:rPr>
                <w:rFonts w:ascii="Calibri" w:hAnsi="Calibri"/>
                <w:i/>
              </w:rPr>
              <w:id w:val="-641579095"/>
              <w:placeholder>
                <w:docPart w:val="89217B1106F6423191F07CEF8F458898"/>
              </w:placeholder>
              <w:showingPlcHdr/>
              <w:dropDownList>
                <w:listItem w:displayText="Growing" w:value="Growing"/>
                <w:listItem w:displayText="Consolidating" w:value="Consolidating"/>
                <w:listItem w:displayText="Reducing" w:value="Reducing"/>
              </w:dropDownList>
            </w:sdtPr>
            <w:sdtContent>
              <w:p w14:paraId="7F9F00A1" w14:textId="1D3CFA5C" w:rsidR="00A86FF2" w:rsidRDefault="000A78CF" w:rsidP="00EB55E2">
                <w:pPr>
                  <w:rPr>
                    <w:rFonts w:ascii="Calibri" w:hAnsi="Calibri"/>
                    <w:b/>
                    <w:bCs/>
                    <w:i/>
                  </w:rPr>
                </w:pPr>
                <w:r w:rsidRPr="00E928F2">
                  <w:rPr>
                    <w:rStyle w:val="PlaceholderText"/>
                  </w:rPr>
                  <w:t>Choose an item.</w:t>
                </w:r>
              </w:p>
            </w:sdtContent>
          </w:sdt>
          <w:p>
            <w:r>
              <w:t>—</w:t>
            </w:r>
          </w:p>
        </w:tc>
        <w:tc>
          <w:tcPr>
            <w:tcW w:w="3073" w:type="dxa"/>
          </w:tcPr>
          <w:p w14:paraId="6018E305" w14:textId="31FFA499" w:rsidR="00A86FF2" w:rsidRDefault="00A86FF2" w:rsidP="00EB55E2">
            <w:pPr>
              <w:ind w:right="-426"/>
              <w:rPr>
                <w:rFonts w:ascii="Calibri" w:hAnsi="Calibri"/>
                <w:b/>
                <w:bCs/>
                <w:i/>
              </w:rPr>
            </w:pPr>
            <w:r w:rsidRPr="002F71B7">
              <w:rPr>
                <w:rFonts w:ascii="Calibri" w:hAnsi="Calibri"/>
                <w:b/>
                <w:bCs/>
                <w:i/>
              </w:rPr>
              <w:t>Industry Features/Risks</w:t>
            </w:r>
            <w:r>
              <w:rPr>
                <w:rFonts w:ascii="Calibri" w:hAnsi="Calibri"/>
                <w:b/>
                <w:bCs/>
                <w:i/>
              </w:rPr>
              <w:t>:</w:t>
            </w:r>
          </w:p>
        </w:tc>
        <w:tc>
          <w:tcPr>
            <w:tcW w:w="3725" w:type="dxa"/>
          </w:tcPr>
          <w:sdt>
            <w:sdtPr>
              <w:rPr>
                <w:rFonts w:ascii="Calibri" w:hAnsi="Calibri"/>
                <w:i/>
              </w:rPr>
              <w:id w:val="-1649736976"/>
              <w:placeholder>
                <w:docPart w:val="0EC176984E7D4CAF960A0C28AA3E7E4B"/>
              </w:placeholder>
              <w:showingPlcHdr/>
              <w:dropDownList>
                <w:listItem w:displayText="Cyclical" w:value="Cyclical"/>
                <w:listItem w:displayText="Non-cyclical" w:value="Non-cyclical"/>
                <w:listItem w:displayText="Counter-cyclical" w:value="Counter-cyclical"/>
              </w:dropDownList>
            </w:sdtPr>
            <w:sdtContent>
              <w:p w14:paraId="2A2C5EA3" w14:textId="08054EE6" w:rsidR="00A86FF2" w:rsidRPr="00D547D6" w:rsidRDefault="008E5006" w:rsidP="00D547D6">
                <w:pPr>
                  <w:jc w:val="both"/>
                  <w:rPr>
                    <w:rFonts w:ascii="Calibri" w:hAnsi="Calibri"/>
                    <w:i/>
                  </w:rPr>
                </w:pPr>
                <w:r w:rsidRPr="00E928F2">
                  <w:rPr>
                    <w:rStyle w:val="PlaceholderText"/>
                  </w:rPr>
                  <w:t>Choose an item.</w:t>
                </w:r>
              </w:p>
            </w:sdtContent>
          </w:sdt>
          <w:p>
            <w:r>
              <w:t>—</w:t>
            </w:r>
          </w:p>
        </w:tc>
      </w:tr>
      <w:tr w:rsidR="00A86FF2" w14:paraId="4D67BDD0" w14:textId="77777777" w:rsidTr="009733F9">
        <w:tc>
          <w:tcPr>
            <w:tcW w:w="2323" w:type="dxa"/>
          </w:tcPr>
          <w:p w14:paraId="7D600649" w14:textId="38A0824D" w:rsidR="00A86FF2" w:rsidRDefault="00A86FF2" w:rsidP="00EB55E2">
            <w:pPr>
              <w:ind w:right="-426"/>
              <w:rPr>
                <w:rFonts w:ascii="Calibri" w:hAnsi="Calibri"/>
                <w:b/>
                <w:bCs/>
                <w:i/>
              </w:rPr>
            </w:pPr>
            <w:r w:rsidRPr="002F71B7">
              <w:rPr>
                <w:rFonts w:ascii="Calibri" w:hAnsi="Calibri"/>
                <w:b/>
                <w:bCs/>
                <w:i/>
              </w:rPr>
              <w:t xml:space="preserve">Market share </w:t>
            </w:r>
            <w:r w:rsidR="009733F9">
              <w:rPr>
                <w:rFonts w:ascii="Calibri" w:hAnsi="Calibri"/>
                <w:b/>
                <w:bCs/>
                <w:i/>
              </w:rPr>
              <w:t>(%)</w:t>
            </w:r>
          </w:p>
        </w:tc>
        <w:tc>
          <w:tcPr>
            <w:tcW w:w="3884" w:type="dxa"/>
          </w:tcPr>
          <w:p w14:paraId="115D7680" w14:textId="75526D53" w:rsidR="00A86FF2" w:rsidRDefault="00EB55E2" w:rsidP="00EB55E2">
            <w:pPr>
              <w:rPr>
                <w:rFonts w:ascii="Calibri" w:hAnsi="Calibri"/>
                <w:b/>
                <w:bCs/>
                <w:i/>
              </w:rPr>
            </w:pPr>
            <w:r w:rsidRPr="002F71B7">
              <w:rPr>
                <w:rFonts w:ascii="Calibri" w:hAnsi="Calibri"/>
                <w:i/>
              </w:rPr>
              <w:t>—</w:t>
            </w:r>
            <w:r w:rsidRPr="009733F9">
              <w:rPr>
                <w:rFonts w:ascii="Calibri" w:hAnsi="Calibri"/>
                <w:i/>
              </w:rPr>
            </w:r>
            <w:r w:rsidR="009733F9" w:rsidRPr="009733F9">
              <w:rPr>
                <w:rFonts w:ascii="Calibri" w:hAnsi="Calibri"/>
                <w:i/>
              </w:rPr>
            </w:r>
            <w:r w:rsidRPr="009733F9">
              <w:rPr>
                <w:rFonts w:ascii="Calibri" w:hAnsi="Calibri"/>
                <w:i/>
              </w:rPr>
            </w:r>
            <w:r w:rsidRPr="002F71B7">
              <w:rPr>
                <w:rFonts w:ascii="Calibri" w:hAnsi="Calibri"/>
                <w:i/>
              </w:rPr>
            </w:r>
            <w:r w:rsidR="009733F9">
              <w:rPr>
                <w:rFonts w:ascii="Calibri" w:hAnsi="Calibri"/>
                <w:i/>
              </w:rPr>
            </w:r>
          </w:p>
        </w:tc>
        <w:tc>
          <w:tcPr>
            <w:tcW w:w="3073" w:type="dxa"/>
          </w:tcPr>
          <w:p w14:paraId="26D65B99" w14:textId="375A5E92" w:rsidR="00A86FF2" w:rsidRDefault="00A86FF2" w:rsidP="00EB55E2">
            <w:pPr>
              <w:ind w:right="-426"/>
              <w:rPr>
                <w:rFonts w:ascii="Calibri" w:hAnsi="Calibri"/>
                <w:b/>
                <w:bCs/>
                <w:i/>
              </w:rPr>
            </w:pPr>
            <w:r w:rsidRPr="002F71B7">
              <w:rPr>
                <w:rFonts w:ascii="Calibri" w:hAnsi="Calibri"/>
                <w:b/>
                <w:bCs/>
                <w:i/>
              </w:rPr>
              <w:t>Industry lifecycle:</w:t>
            </w:r>
          </w:p>
        </w:tc>
        <w:tc>
          <w:tcPr>
            <w:tcW w:w="3725" w:type="dxa"/>
          </w:tcPr>
          <w:sdt>
            <w:sdtPr>
              <w:rPr>
                <w:rFonts w:ascii="Calibri" w:hAnsi="Calibri"/>
                <w:i/>
              </w:rPr>
              <w:id w:val="1837499326"/>
              <w:placeholder>
                <w:docPart w:val="1D2064BB7BA040FD97829C5AE5F1AB97"/>
              </w:placeholder>
              <w:showingPlcHdr/>
              <w:dropDownList>
                <w:listItem w:displayText="Birth" w:value="Birth"/>
                <w:listItem w:displayText="Growth" w:value="Growth"/>
                <w:listItem w:displayText="Shakeout" w:value="Shakeout"/>
                <w:listItem w:displayText="Maturity" w:value="Maturity"/>
                <w:listItem w:displayText="Decline" w:value="Decline"/>
              </w:dropDownList>
            </w:sdtPr>
            <w:sdtContent>
              <w:p w14:paraId="67DE120F" w14:textId="6224BC41" w:rsidR="00A86FF2" w:rsidRDefault="00AF7C6D" w:rsidP="00D547D6">
                <w:pPr>
                  <w:rPr>
                    <w:rFonts w:ascii="Calibri" w:hAnsi="Calibri"/>
                    <w:b/>
                    <w:bCs/>
                    <w:i/>
                  </w:rPr>
                </w:pPr>
                <w:r w:rsidRPr="00E928F2">
                  <w:rPr>
                    <w:rStyle w:val="PlaceholderText"/>
                  </w:rPr>
                  <w:t>Choose an item.</w:t>
                </w:r>
              </w:p>
            </w:sdtContent>
          </w:sdt>
          <w:p>
            <w:r>
              <w:t>—</w:t>
            </w:r>
          </w:p>
        </w:tc>
      </w:tr>
    </w:tbl>
    <w:p w14:paraId="787529FF" w14:textId="77777777" w:rsidR="009733F9" w:rsidRPr="009733F9" w:rsidRDefault="009733F9" w:rsidP="009733F9">
      <w:pPr>
        <w:spacing w:after="0"/>
        <w:ind w:right="-426"/>
        <w:jc w:val="both"/>
        <w:rPr>
          <w:rFonts w:ascii="Calibri" w:eastAsia="Times New Roman" w:hAnsi="Calibri" w:cs="Times New Roman"/>
          <w:i/>
          <w:sz w:val="20"/>
          <w:szCs w:val="20"/>
        </w:rPr>
      </w:pPr>
      <w:r>
        <w:t>PRODUCTS WATER LLC alkogolsiz ichimliklarni ulgurji tarqatish sohasida katta tajribaga ega bo‘lib, bozorda mustahkam o‘rin egallagan. Kompaniya 2025 yil oxiridagi ma’lumotlarga ko‘ra, o‘z sohasida daromad bo‘yicha 113-o‘rinda, Toshkent viloyatida esa 244-o‘rinda turadi. Respublika miqyosida esa daromad bo‘yicha 1900-o‘rinni egallaydi, bu esa PRODUCTS WATER LLC’ning O‘zbekiston ichimliklar tarqatish bozorida barqaror, biroq yetakchi bo‘lmagan ulushga ega ekanligini ko‘rsatadi.</w:t>
      </w:r>
    </w:p>
    <w:p>
      <w:r>
        <w:t>Kompaniyaning daromadi izchil va barqaror o‘sishni namoyon etmoqda: 2025 yil uchun yiliga 13% o‘sish kutilmoqda, o‘rtacha yillik o‘sish sur’ati esa 18–20% ni tashkil etadi. Ushbu natijalar mahsulot portfeliga doimiy talab va mijozlar bazasining kengayib borayotganini aks ettiradi. 2023 yil avgustidan boshlab kompaniyaning rasmiy distribyutor maqomiga ega bo‘lishi uning raqobatbardoshligini yanada mustahkamlab, bozor ulushining oshishiga xizmat qilmoqda.</w:t>
      </w:r>
    </w:p>
    <w:p>
      <w:r>
        <w:t>Sohada raqobat kuchli bo‘lib qolmoqda, biroq PRODUCTS WATER LLC yirik yetkazib beruvchilar bilan o‘rnatilgan aloqalari va rasmiy distribyutorlik maqomi tufayli ustunlikka ega. Kompaniyaning Toshkent viloyatidagi faoliyatga yo‘naltirilganligi va daromadining o‘sib borayotganligi uni mintaqaviy bozorda muhim o‘yinchi sifatida ko‘rsatadi hamda kelajakda yanada kengayish imkoniyatlarini ochib beradi.</w:t>
      </w:r>
    </w:p>
    <w:p w14:paraId="298E40F0" w14:textId="77777777" w:rsidR="002B62EA" w:rsidRDefault="002B62EA" w:rsidP="00652558">
      <w:pPr>
        <w:spacing w:before="240" w:after="0"/>
        <w:ind w:right="-426"/>
        <w:jc w:val="both"/>
        <w:rPr>
          <w:rFonts w:ascii="Calibri" w:eastAsia="Times New Roman" w:hAnsi="Calibri" w:cs="Times New Roman"/>
          <w:i/>
          <w:sz w:val="20"/>
          <w:szCs w:val="20"/>
        </w:rPr>
      </w:pPr>
    </w:p>
    <w:p w14:paraId="1E13E9FF" w14:textId="77777777" w:rsidR="002B62EA" w:rsidRDefault="002B62EA" w:rsidP="00652558">
      <w:pPr>
        <w:spacing w:before="240" w:after="0"/>
        <w:ind w:right="-426"/>
        <w:jc w:val="both"/>
        <w:rPr>
          <w:rFonts w:ascii="Calibri" w:eastAsia="Times New Roman" w:hAnsi="Calibri" w:cs="Times New Roman"/>
          <w:i/>
          <w:sz w:val="20"/>
          <w:szCs w:val="20"/>
        </w:rPr>
      </w:pPr>
    </w:p>
    <w:p w14:paraId="550A9958" w14:textId="515DFF31" w:rsidR="00DD08F2" w:rsidRPr="00DD08F2" w:rsidRDefault="002E7FEB" w:rsidP="00652558">
      <w:pPr>
        <w:spacing w:before="240" w:after="0"/>
        <w:ind w:right="-426"/>
        <w:jc w:val="both"/>
        <w:rPr>
          <w:rFonts w:ascii="Calibri" w:eastAsia="Times New Roman" w:hAnsi="Calibri" w:cs="Times New Roman"/>
          <w:b/>
          <w:bCs/>
          <w:i/>
          <w:sz w:val="20"/>
          <w:szCs w:val="20"/>
        </w:rPr>
      </w:pPr>
      <w:r>
        <w:rPr>
          <w:rFonts w:ascii="Calibri" w:eastAsia="Times New Roman" w:hAnsi="Calibri" w:cs="Times New Roman"/>
          <w:b/>
          <w:bCs/>
          <w:i/>
          <w:sz w:val="20"/>
          <w:szCs w:val="20"/>
        </w:rPr>
        <w:t>Strengths Weaknesses Opportunities Threats (SWOT):</w:t>
      </w:r>
      <w:r w:rsidR="00DD08F2" w:rsidRPr="00DD08F2">
        <w:rPr>
          <w:rFonts w:ascii="Calibri" w:eastAsia="Times New Roman" w:hAnsi="Calibri" w:cs="Times New Roman"/>
          <w:b/>
          <w:bCs/>
          <w:i/>
          <w:sz w:val="20"/>
          <w:szCs w:val="20"/>
        </w:rPr>
      </w:r>
      <w:r w:rsidR="00A078AC">
        <w:rPr>
          <w:rFonts w:ascii="Calibri" w:eastAsia="Times New Roman" w:hAnsi="Calibri" w:cs="Times New Roman"/>
          <w:b/>
          <w:bCs/>
          <w:i/>
          <w:sz w:val="20"/>
          <w:szCs w:val="20"/>
        </w:rPr>
      </w:r>
    </w:p>
    <w:p w14:paraId="03619625" w14:textId="77777777" w:rsidR="007F1334" w:rsidRDefault="007F1334" w:rsidP="007F1334">
      <w:pPr>
        <w:pStyle w:val="Subtitle"/>
        <w:ind w:left="0"/>
        <w:jc w:val="both"/>
        <w:rPr>
          <w:rFonts w:ascii="Calibri" w:hAnsi="Calibri" w:cstheme="minorHAnsi"/>
          <w:bCs w:val="0"/>
          <w:sz w:val="20"/>
          <w:szCs w:val="20"/>
          <w:lang w:val="en-US"/>
        </w:rPr>
      </w:pPr>
      <w:r>
        <w:t>Kuchli tomonlari:</w:t>
        <w:br/>
        <w:t>- Kompaniya alkogolsiz ichimliklarning ulgurji savdosida katta tajribaga ega bo‘lib, bu kuchli va barqaror bozor pozitsiyasiga erishishda yordam bergan (Iqtiboslar 1, 2).</w:t>
        <w:br/>
        <w:t>- PRODUCTS WATER me’yoriy talablarni to‘liq bajarayotgani va muvofiqlik xavflariga duch kelmayotgani ichki nazorat tizimlarining mustahkamligini ko‘rsatadi (Iqtibos 6).</w:t>
        <w:br/>
        <w:t>- Kompaniya mintaqaviy va sohaviy daromad reytinglarida munosib o‘rinni egallagan, bu esa barqaror operatsion faoliyatni anglatadi (Iqtibos 8).</w:t>
      </w:r>
    </w:p>
    <w:p>
      <w:r>
        <w:t>Zaif tomonlari:</w:t>
        <w:br/>
        <w:t>- Likvidlik 2024 va 2025 yillarda pasayishi prognoz qilinmoqda, biroq hali ham qabul qilinadigan me’yorlarda qolmoqda, va aylanma kapital aktivlar tuzilmasidagi o‘zgarishlar hamda zaxiralar hajmining oshishi sababli biroz kamaygan (Iqtibos 3).</w:t>
        <w:br/>
        <w:t>- Kompaniyaning barqarorlik reytingi hozirda 'B' (o‘rtacha) darajasida, oylik reytinglarda biroz o‘zgaruvchanlik kuzatilmoqda, bu esa moliyaviy barqarorlikni oshirish uchun imkoniyat borligini ko‘rsatadi (Iqtiboslar 9, 11, 13).</w:t>
      </w:r>
    </w:p>
    <w:p>
      <w:r>
        <w:t>Imkoniyatlar:</w:t>
        <w:br/>
        <w:t>- Kompaniyaning bozorga chuqur kirib borishi va 2023 yil avgustidan rasmiy distribyutor maqomiga ega bo‘lishi bozorni kengaytirish va raqobatbardosh pozitsiyasini mustahkamlash uchun asos yaratadi (Iqtibos 1).</w:t>
        <w:br/>
        <w:t>- Global tarif beqarorligining to‘g‘ridan-to‘g‘ri ta’siri yo‘qligi kompaniyaga O‘zbekistonda nisbatan barqaror tashqi muhitda faoliyat yuritish imkonini beradi (Iqtibos 5).</w:t>
      </w:r>
    </w:p>
    <w:p>
      <w:r>
        <w:t>Xavflar:</w:t>
        <w:br/>
        <w:t>- Operatsion sikl zaxiralar hajmining oshishi hisobiga uzaygan, bu esa o‘z vaqtida chora ko‘rilmasa, pul oqimini boshqarishga salbiy ta’sir ko‘rsatishi mumkin (Iqtibos 3).</w:t>
        <w:br/>
        <w:t>- Kompaniyaning barqarorlik reytingi o‘rtacha bo‘lsa-da, tashqi zarbalar yoki operatsion uzilishlarga nisbatan zaiflik mavjudligini ko‘rsatadi, bu esa umumiy kreditga layoqatlilikka ta’sir qilishi mumkin (Iqtiboslar 9, 11).</w:t>
      </w:r>
    </w:p>
    <w:p w14:paraId="3623787B" w14:textId="77777777" w:rsidR="002B62EA" w:rsidRDefault="002B62EA" w:rsidP="007F1334">
      <w:pPr>
        <w:pStyle w:val="Subtitle"/>
        <w:ind w:left="0"/>
        <w:jc w:val="both"/>
        <w:rPr>
          <w:rFonts w:ascii="Calibri" w:hAnsi="Calibri" w:cstheme="minorHAnsi"/>
          <w:bCs w:val="0"/>
          <w:sz w:val="20"/>
          <w:szCs w:val="20"/>
          <w:lang w:val="en-US"/>
        </w:rPr>
      </w:pPr>
    </w:p>
    <w:p w14:paraId="50A8687E" w14:textId="77777777" w:rsidR="002B62EA" w:rsidRPr="00A6113C" w:rsidRDefault="002B62EA" w:rsidP="007F1334">
      <w:pPr>
        <w:pStyle w:val="Subtitle"/>
        <w:ind w:left="0"/>
        <w:jc w:val="both"/>
        <w:rPr>
          <w:rFonts w:ascii="Calibri" w:hAnsi="Calibri" w:cstheme="minorHAnsi"/>
          <w:bCs w:val="0"/>
          <w:sz w:val="20"/>
          <w:szCs w:val="20"/>
          <w:lang w:val="en-US"/>
        </w:rPr>
      </w:pPr>
    </w:p>
    <w:p w14:paraId="0793AC93" w14:textId="0AE4C77C" w:rsidR="00BA6547" w:rsidRDefault="00C26331" w:rsidP="002E7FEB">
      <w:pPr>
        <w:pStyle w:val="CommentText"/>
        <w:jc w:val="both"/>
        <w:rPr>
          <w:rFonts w:asciiTheme="minorHAnsi" w:hAnsiTheme="minorHAnsi" w:cstheme="minorHAnsi"/>
          <w:b/>
          <w:bCs/>
          <w:i/>
        </w:rPr>
      </w:pPr>
      <w:r w:rsidRPr="009733F9">
        <w:rPr>
          <w:rFonts w:asciiTheme="minorHAnsi" w:hAnsiTheme="minorHAnsi" w:cstheme="minorHAnsi"/>
          <w:b/>
          <w:bCs/>
          <w:i/>
        </w:rPr>
        <w:t>Environmental social governance (ESG) risks:</w:t>
      </w:r>
      <w:r w:rsidR="005C3570" w:rsidRPr="009733F9">
        <w:rPr>
          <w:rFonts w:asciiTheme="minorHAnsi" w:hAnsiTheme="minorHAnsi" w:cstheme="minorHAnsi"/>
          <w:b/>
          <w:bCs/>
          <w:i/>
        </w:rPr>
      </w:r>
      <w:r w:rsidRPr="009733F9">
        <w:rPr>
          <w:rFonts w:asciiTheme="minorHAnsi" w:hAnsiTheme="minorHAnsi" w:cstheme="minorHAnsi"/>
          <w:b/>
          <w:bCs/>
          <w:i/>
        </w:rPr>
      </w:r>
      <w:r w:rsidR="005C3570" w:rsidRPr="009733F9">
        <w:rPr>
          <w:rFonts w:asciiTheme="minorHAnsi" w:hAnsiTheme="minorHAnsi" w:cstheme="minorHAnsi"/>
          <w:b/>
          <w:bCs/>
          <w:i/>
        </w:rPr>
      </w:r>
      <w:r w:rsidRPr="009733F9">
        <w:rPr>
          <w:rFonts w:asciiTheme="minorHAnsi" w:hAnsiTheme="minorHAnsi" w:cstheme="minorHAnsi"/>
          <w:b/>
          <w:bCs/>
          <w:i/>
        </w:rPr>
      </w:r>
      <w:r w:rsidR="005C3570" w:rsidRPr="009733F9">
        <w:rPr>
          <w:rFonts w:asciiTheme="minorHAnsi" w:hAnsiTheme="minorHAnsi" w:cstheme="minorHAnsi"/>
          <w:b/>
          <w:bCs/>
          <w:i/>
        </w:rPr>
      </w:r>
      <w:r w:rsidR="00E5469E" w:rsidRPr="009733F9">
        <w:rPr>
          <w:rFonts w:asciiTheme="minorHAnsi" w:hAnsiTheme="minorHAnsi" w:cstheme="minorHAnsi"/>
          <w:b/>
          <w:bCs/>
          <w:i/>
        </w:rPr>
      </w:r>
      <w:r w:rsidR="009733F9" w:rsidRPr="009733F9">
        <w:rPr>
          <w:rFonts w:asciiTheme="minorHAnsi" w:hAnsiTheme="minorHAnsi" w:cstheme="minorHAnsi"/>
          <w:b/>
          <w:bCs/>
          <w:i/>
        </w:rPr>
      </w:r>
      <w:r w:rsidR="00E37531" w:rsidRPr="009733F9">
        <w:rPr>
          <w:rFonts w:asciiTheme="minorHAnsi" w:hAnsiTheme="minorHAnsi" w:cstheme="minorHAnsi"/>
          <w:b/>
          <w:bCs/>
          <w:i/>
        </w:rPr>
      </w:r>
    </w:p>
    <w:p w14:paraId="6B8B71DE" w14:textId="77777777" w:rsidR="00AD0F1E" w:rsidRDefault="00AD0F1E" w:rsidP="007F1334">
      <w:pPr>
        <w:spacing w:after="0" w:line="240" w:lineRule="auto"/>
        <w:jc w:val="both"/>
        <w:rPr>
          <w:rFonts w:cstheme="minorHAnsi"/>
          <w:b/>
          <w:i/>
          <w:color w:val="000000"/>
          <w:sz w:val="20"/>
          <w:szCs w:val="20"/>
        </w:rPr>
      </w:pPr>
      <w:r>
        <w:t>PRODUCTS WATER MCHJ uchun ESG xavf profili past deb baholanadi, bu kompaniyaning me’yoriy talablariga rioya qilishi va muvofiqlik xavflarining yo‘qligi bilan izohlanadi. Kompaniya O‘zbekiston hududida alkogolsiz ichimliklarni ulgurji savdosi bilan shug‘ullanadi, bu faoliyat to‘g‘ridan-to‘g‘ri ekologik ta’siri cheklangan va iqlim bilan bog‘liq xavflarga minimal darajada duchor bo‘ladi. Muhim ekologik majburiyatlar yoki hodisalar aniqlanmagan.</w:t>
      </w:r>
    </w:p>
    <w:p>
      <w:r>
        <w:t>Ijtimoiy omillar barqaror, mehnat mojarolari yoki jamoaga salbiy ta’sir ko‘rsatuvchi holatlar aniqlanmagan. Kompaniya mehnat va soliq qonunchiligi talablariga rioya qiladi, bu esa elektron hisob-fakturalarning o‘z vaqtida ro‘yxatdan o‘tkazilishi va so‘nggi 12 oy ichida sud orqali hech qanday huquqiy jarayonlar yoki restrukturizatsiya holatlari bo‘lmaganligi bilan tasdiqlanadi.</w:t>
      </w:r>
    </w:p>
    <w:p>
      <w:r>
        <w:t>Korporativ boshqaruv sifati qoniqarli. So‘nggi paytlarda rahbariyatda o‘zgarishlar yoki asoschilar va rahbarlarga nisbatan ishonchsizlik belgisi kuzatilmagan. Kompaniya soliq organlari tomonidan aniqlangan kamchiliklarni tezda bartaraf etganini ham namoyon qilgan, bu esa boshqaruv barqarorligini qo‘llab-quvvatlaydi.</w:t>
      </w:r>
    </w:p>
    <w:p>
      <w:r>
        <w:t>So‘nggi ESG bilan bog‘liq reyting, barqarorlik indeksi asosida, 'B - 61' bo‘lib, o‘rtacha sifatida tasniflanadi. Ushbu reyting, shuningdek, kompaniyaning past muvofiqlik va AML xavf profili bilan birga, ESG xavflari yaxshi boshqarilayotganini va hozirgi vaqtda jiddiy xavotirga sabab emasligini ko‘rsatadi.</w:t>
      </w:r>
    </w:p>
    <w:p w14:paraId="6E6E98AF" w14:textId="77777777" w:rsidR="002B62EA" w:rsidRDefault="002B62EA" w:rsidP="007F1334">
      <w:pPr>
        <w:spacing w:after="0" w:line="240" w:lineRule="auto"/>
        <w:jc w:val="both"/>
        <w:rPr>
          <w:rFonts w:cstheme="minorHAnsi"/>
          <w:b/>
          <w:i/>
          <w:color w:val="000000"/>
          <w:sz w:val="20"/>
          <w:szCs w:val="20"/>
        </w:rPr>
      </w:pPr>
    </w:p>
    <w:p w14:paraId="0D2A39D6" w14:textId="77777777" w:rsidR="002B62EA" w:rsidRPr="009733F9" w:rsidRDefault="002B62EA" w:rsidP="007F1334">
      <w:pPr>
        <w:spacing w:after="0" w:line="240" w:lineRule="auto"/>
        <w:jc w:val="both"/>
        <w:rPr>
          <w:rFonts w:cstheme="minorHAnsi"/>
          <w:b/>
          <w:i/>
          <w:color w:val="000000"/>
          <w:sz w:val="20"/>
          <w:szCs w:val="20"/>
        </w:rPr>
      </w:pPr>
    </w:p>
    <w:p w14:paraId="7572189C" w14:textId="77777777" w:rsidR="002B62EA" w:rsidRDefault="002B62EA" w:rsidP="007F1334">
      <w:pPr>
        <w:spacing w:after="0" w:line="240" w:lineRule="auto"/>
        <w:jc w:val="both"/>
        <w:rPr>
          <w:rFonts w:cstheme="minorHAnsi"/>
          <w:b/>
          <w:i/>
          <w:iCs/>
          <w:color w:val="000000"/>
          <w:sz w:val="20"/>
          <w:szCs w:val="20"/>
        </w:rPr>
      </w:pPr>
    </w:p>
    <w:p w14:paraId="57C53CC1" w14:textId="3A47F440" w:rsidR="001009E4" w:rsidRPr="009733F9" w:rsidRDefault="007F1334" w:rsidP="007F1334">
      <w:pPr>
        <w:spacing w:after="0" w:line="240" w:lineRule="auto"/>
        <w:jc w:val="both"/>
        <w:rPr>
          <w:rFonts w:cstheme="minorHAnsi"/>
          <w:b/>
          <w:bCs/>
          <w:i/>
          <w:iCs/>
          <w:sz w:val="20"/>
          <w:szCs w:val="20"/>
        </w:rPr>
      </w:pPr>
      <w:r w:rsidRPr="009733F9">
        <w:rPr>
          <w:rFonts w:cstheme="minorHAnsi"/>
          <w:b/>
          <w:i/>
          <w:iCs/>
          <w:color w:val="000000"/>
          <w:sz w:val="20"/>
          <w:szCs w:val="20"/>
        </w:rPr>
        <w:t>Financial risk →</w:t>
      </w:r>
      <w:r w:rsidRPr="009733F9">
        <w:rPr>
          <w:rFonts w:cstheme="minorHAnsi"/>
          <w:b/>
          <w:bCs/>
          <w:i/>
          <w:iCs/>
          <w:sz w:val="20"/>
          <w:szCs w:val="20"/>
        </w:rPr>
      </w:r>
      <w:sdt>
        <w:sdtPr>
          <w:rPr>
            <w:rFonts w:cstheme="minorHAnsi"/>
            <w:b/>
            <w:bCs/>
            <w:i/>
            <w:iCs/>
            <w:sz w:val="20"/>
            <w:szCs w:val="20"/>
          </w:rPr>
          <w:id w:val="-1381855856"/>
          <w:lock w:val="sdtLocked"/>
          <w:placeholder>
            <w:docPart w:val="DefaultPlaceholder_-1854013438"/>
          </w:placeholder>
          <w:dropDownList>
            <w:listItem w:displayText="Low" w:value="Low"/>
            <w:listItem w:displayText="Moderate" w:value="Moderate"/>
            <w:listItem w:displayText="High" w:value="High"/>
          </w:dropDownList>
        </w:sdtPr>
        <w:sdtContent>
          <w:r w:rsidR="00874A04">
            <w:rPr>
              <w:rFonts w:cstheme="minorHAnsi"/>
              <w:b/>
              <w:bCs/>
              <w:i/>
              <w:iCs/>
              <w:sz w:val="20"/>
              <w:szCs w:val="20"/>
            </w:rPr>
            <w:t>Low</w:t>
          </w:r>
        </w:sdtContent>
      </w:sdt>
    </w:p>
    <w:p w14:paraId="2B8D0897" w14:textId="77777777" w:rsidR="002B62EA" w:rsidRDefault="002B62EA" w:rsidP="002F048D">
      <w:pPr>
        <w:spacing w:before="60" w:after="60"/>
        <w:ind w:right="-425"/>
        <w:jc w:val="both"/>
        <w:rPr>
          <w:rFonts w:cstheme="minorHAnsi"/>
          <w:i/>
          <w:iCs/>
          <w:noProof/>
          <w:sz w:val="20"/>
          <w:szCs w:val="20"/>
          <w:lang w:val="en-GB"/>
        </w:rPr>
      </w:pPr>
      <w:r>
        <w:t>Kompaniya barqaror daromad o‘sishini namoyon qilmoqda, 2025 yil uchun kutilayotgan daromad UZS 125,3 milliardni tashkil etadi, bu esa o‘tgan yilga nisbatan 13% o‘sishni anglatadi va o‘rtacha yillik o‘sish sur’ati 18–20% darajasida saqlanmoqda. Ushbu ijobiy tendensiya ulgurji alkogolsiz ichimliklar sektorida barqaror talab bilan mustahkamlangan. Biroq, rentabellik pastligicha qolmoqda: EBITDA marjasi 2024 yildagi 1,3% dan 2025 yilda 1,8% ga yaxshilanmoqda va 2026 yildan boshlab 20% dan yuqoriga sezilarli o‘sish prognoz qilinmoqda, bu esa operatsion samaradorlik va marjaning kengayishini ko‘rsatadi.</w:t>
      </w:r>
    </w:p>
    <w:p>
      <w:r>
        <w:t>Likvidlilik ko‘rsatkichlari 2024 yildagi 6,4x dan 2025 yilda 4,2x ga va 2026 yilda 1,6x ga pasaygan bo‘lsa-da, qisqa muddatda qabul qilinadigan darajada qolmoqda. Aylanma kapital biroz kamaygan, bu esa tezlashgan aylanma va aktivlar tuzilmasidagi o‘zgarishlar bilan bog‘liq, biroq amaldagi faoliyatni qo‘llab-quvvatlash uchun yetarli darajada. Qarzdorlik darajasi o‘rtacha deb baholanadi, leverage va rejalashtirilgan asosiy qarz to‘lovlari boshqariladigan chegaralarda. Umuman olganda, moliyaviy xavf profili barqaror, kuchli daromad o‘sishi va boshqariladigan leverage bilan qo‘llab-quvvatlanadi, biroq likvidlikning pasayish tendensiyasi va hozirgi past rentabellik marjalari doimiy monitoringni talab qiladi.</w:t>
      </w:r>
    </w:p>
    <w:p w14:paraId="03207FF8" w14:textId="77777777" w:rsidR="002B62EA" w:rsidRDefault="002B62EA" w:rsidP="002F048D">
      <w:pPr>
        <w:spacing w:before="60" w:after="60"/>
        <w:ind w:right="-425"/>
        <w:jc w:val="both"/>
        <w:rPr>
          <w:rFonts w:cstheme="minorHAnsi"/>
          <w:i/>
          <w:iCs/>
          <w:noProof/>
          <w:sz w:val="20"/>
          <w:szCs w:val="20"/>
          <w:lang w:val="en-GB"/>
        </w:rPr>
      </w:pPr>
    </w:p>
    <w:p w14:paraId="1834BD1E" w14:textId="77777777" w:rsidR="002B62EA" w:rsidRDefault="002B62EA" w:rsidP="002F048D">
      <w:pPr>
        <w:spacing w:before="60" w:after="60"/>
        <w:ind w:right="-425"/>
        <w:jc w:val="both"/>
        <w:rPr>
          <w:rFonts w:cstheme="minorHAnsi"/>
          <w:i/>
          <w:iCs/>
          <w:noProof/>
          <w:sz w:val="20"/>
          <w:szCs w:val="20"/>
          <w:lang w:val="en-GB"/>
        </w:rPr>
      </w:pPr>
    </w:p>
    <w:p w14:paraId="338497F2" w14:textId="10DA0D16" w:rsidR="001009E4" w:rsidRPr="00A6043A" w:rsidRDefault="001009E4" w:rsidP="002F048D">
      <w:pPr>
        <w:spacing w:before="60" w:after="60"/>
        <w:ind w:right="-425"/>
        <w:jc w:val="both"/>
        <w:rPr>
          <w:rFonts w:cstheme="minorHAnsi"/>
          <w:b/>
          <w:bCs/>
          <w:i/>
          <w:noProof/>
          <w:sz w:val="20"/>
          <w:szCs w:val="20"/>
          <w:u w:val="single"/>
          <w:lang w:val="en-GB"/>
        </w:rPr>
      </w:pPr>
      <w:r w:rsidRPr="00A6043A">
        <w:rPr>
          <w:rFonts w:cstheme="minorHAnsi"/>
          <w:b/>
          <w:bCs/>
          <w:i/>
          <w:noProof/>
          <w:sz w:val="20"/>
          <w:szCs w:val="20"/>
          <w:u w:val="single"/>
          <w:lang w:val="en-GB"/>
        </w:rPr>
        <w:t>Projections for the tenor of the proposed lending</w:t>
      </w:r>
      <w:r w:rsidR="0046032B" w:rsidRPr="00A6043A">
        <w:rPr>
          <w:rFonts w:cstheme="minorHAnsi"/>
          <w:b/>
          <w:bCs/>
          <w:i/>
          <w:noProof/>
          <w:sz w:val="20"/>
          <w:szCs w:val="20"/>
          <w:u w:val="single"/>
          <w:lang w:val="en-GB"/>
        </w:rPr>
      </w:r>
      <w:r w:rsidRPr="00A6043A">
        <w:rPr>
          <w:rFonts w:cstheme="minorHAnsi"/>
          <w:b/>
          <w:bCs/>
          <w:i/>
          <w:noProof/>
          <w:sz w:val="20"/>
          <w:szCs w:val="20"/>
          <w:u w:val="single"/>
          <w:lang w:val="en-GB"/>
        </w:rPr>
      </w:r>
    </w:p>
    <w:p w14:paraId="41B4A606" w14:textId="340F87DF" w:rsidR="001009E4" w:rsidRDefault="001009E4" w:rsidP="00275396">
      <w:pPr>
        <w:spacing w:after="0"/>
        <w:ind w:right="-426"/>
        <w:jc w:val="both"/>
        <w:rPr>
          <w:rFonts w:cstheme="minorHAnsi"/>
          <w:i/>
          <w:noProof/>
          <w:sz w:val="20"/>
          <w:szCs w:val="20"/>
          <w:lang w:val="en-GB"/>
        </w:rPr>
      </w:pPr>
      <w:r>
        <w:t>2024–2028 yillar davri uchun daromad prognozi barqaror o‘sishni ko‘rsatadi, jami daromad 2024 yilda UZS 110,8 milliarddan 2028 yilga kelib UZS 226,6 milliardgacha oshishi kutilmoqda. Bu yiliga taxminan 18–20% atrofida compound annual growth rate (CAGR) ni anglatadi, bu esa O‘zbekiston iqlimida alkogolsiz ichimliklarga doimiy talab va kompaniyaning ulgurji savdo sohasidagi mustahkam pozitsiyasi bilan asoslanadi. Daromad bo‘yicha taxminlar tarixiy o‘sish tendensiyalari va bozor talabining dinamikasi bilan qo‘llab-quvvatlanadi.</w:t>
      </w:r>
    </w:p>
    <w:p>
      <w:r>
        <w:t>EBITDA 2024 yildagi UZS 1,45 milliarddan 2028 yilga kelib UZS 65,9 milliardgacha sezilarli darajada oshishi prognoz qilinmoqda, EBITDA marjasi esa shu davrda 1,3% dan 21,8% gacha yaxshilanadi. Bu keskin marja kengayishi kompaniya operatsiyalarini kengaytirishi va samaradorlik hamda savdo hajmining oshishi natijasida kutilmoqda. Prognoz qilingan EBITDA ko‘rsatkichlari qarzni xizmat ko‘rsatish uchun mustahkam asos yaratadi.</w:t>
      </w:r>
    </w:p>
    <w:p>
      <w:r>
        <w:t>Qarz xizmatini to‘lash majburiyatlari asosiy qarzni to‘lash 2025 yilda boshlanib, 2026 yilda (UZS 20,1 milliard) eng yuqori cho‘qqiga chiqadi va keyinchalik har yili UZS 12 milliard atrofida barqarorlashadi. Kompaniyaning yaxshilanayotgan EBITDA va likvidlik pozitsiyasi kredit muddati davomida qarz xizmatini yetarli darajada ta’minlashini ko‘rsatadi. Aniq DSCR hisob-kitoblari keltirilmagan bo‘lsa-da, operatsion pul oqimi va likvidlik ko‘rsatkichlarining (2026 yilgacha pasayib, biroq 1,6x dan yuqori bo‘lib qolishi) kuchli o‘sish tendensiyasi qarz majburiyatlarini qoplash qobiliyati qoniqarli ekanini bildiradi.</w:t>
      </w:r>
    </w:p>
    <w:p>
      <w:r>
        <w:t>Sensitivity analysis konservativ daromad o‘sishi taxminlari va kompaniya mahsulotlariga bo‘lgan talabning barqarorligi orqali bilvosita yoritilgan. Biroq, EBITDA marjasining tez yaxshilanishi diqqat bilan monitoringni talab qiladi, chunki prognoz qilingan samaradorlik oshishidan chetlanish qoplash ko‘rsatkichlariga ta’sir qilishi mumkin. Yuqori likvidlik va working capital darajalari potentsial pul oqimi o‘zgaruvchanligiga qarshi mitigant sifatida xizmat qiladi.</w:t>
      </w:r>
    </w:p>
    <w:p w14:paraId="6521BBB5" w14:textId="77777777" w:rsidR="002B62EA" w:rsidRPr="009B2B9D" w:rsidRDefault="002B62EA" w:rsidP="00275396">
      <w:pPr>
        <w:spacing w:after="0"/>
        <w:ind w:right="-426"/>
        <w:jc w:val="both"/>
        <w:rPr>
          <w:rFonts w:cstheme="minorHAnsi"/>
          <w:i/>
          <w:noProof/>
          <w:sz w:val="20"/>
          <w:szCs w:val="20"/>
          <w:lang w:val="en-GB"/>
        </w:rPr>
      </w:pPr>
    </w:p>
    <w:p w14:paraId="4A521031" w14:textId="5A2AF81A" w:rsidR="001009E4" w:rsidRDefault="001009E4" w:rsidP="00275396">
      <w:pPr>
        <w:spacing w:after="0"/>
        <w:ind w:right="-426"/>
        <w:jc w:val="both"/>
        <w:rPr>
          <w:rFonts w:cstheme="minorHAnsi"/>
          <w:i/>
          <w:noProof/>
          <w:sz w:val="20"/>
          <w:szCs w:val="20"/>
          <w:lang w:val="en-GB"/>
        </w:rPr>
      </w:pPr>
      <w:r w:rsidRPr="009B2B9D">
        <w:rPr>
          <w:rFonts w:cstheme="minorHAnsi"/>
          <w:b/>
          <w:i/>
          <w:noProof/>
          <w:sz w:val="20"/>
          <w:szCs w:val="20"/>
          <w:lang w:val="en-GB"/>
        </w:rPr>
        <w:t>Bank / Base case assumptions</w:t>
      </w:r>
      <w:r w:rsidRPr="009B2B9D">
        <w:rPr>
          <w:rFonts w:cstheme="minorHAnsi"/>
          <w:i/>
          <w:noProof/>
          <w:sz w:val="20"/>
          <w:szCs w:val="20"/>
          <w:lang w:val="en-GB"/>
        </w:rPr>
      </w:r>
      <w:r w:rsidRPr="009B2B9D">
        <w:rPr>
          <w:rFonts w:cstheme="minorHAnsi"/>
          <w:i/>
          <w:noProof/>
          <w:sz w:val="20"/>
          <w:szCs w:val="20"/>
          <w:lang w:val="en-GB"/>
        </w:rPr>
      </w:r>
      <w:r w:rsidRPr="009B2B9D">
        <w:rPr>
          <w:rFonts w:cstheme="minorHAnsi"/>
          <w:i/>
          <w:noProof/>
          <w:sz w:val="20"/>
          <w:szCs w:val="20"/>
          <w:lang w:val="en-GB"/>
        </w:rPr>
      </w:r>
    </w:p>
    <w:p w14:paraId="7B950395" w14:textId="77777777" w:rsidR="002B62EA" w:rsidRDefault="002B62EA" w:rsidP="00275396">
      <w:pPr>
        <w:spacing w:after="0"/>
        <w:ind w:right="-426"/>
        <w:jc w:val="both"/>
        <w:rPr>
          <w:rFonts w:cstheme="minorHAnsi"/>
          <w:i/>
          <w:noProof/>
          <w:sz w:val="20"/>
          <w:szCs w:val="20"/>
          <w:lang w:val="en-GB"/>
        </w:rPr>
      </w:pPr>
      <w:r>
        <w:t>Bazaviy ssenariy kompaniyaning O‘zbekistonning issiq iqlimida alkogolsiz ichimliklarga yuqori talab va ulgurji savdo sohasidagi mustahkam pozitsiyasiga asoslanib, daromadlarning barqaror o‘sishini taxmin qiladi. 2025 yil uchun prognoz qilingan daromad UZS 125,3 milliardni tashkil etadi, bu esa o‘tgan yilga nisbatan 13% o‘sishni anglatadi. Tarixiy ma’lumotlar har yili o‘rtacha 18–20% daromad o‘sishini ko‘rsatadi va bu tendensiya sohaning ijobiy dinamikasi hamda kompaniyaning kengayishdagi isbotlangan tajribasi tufayli davom etishi kutilmoqda.</w:t>
      </w:r>
    </w:p>
    <w:p>
      <w:r>
        <w:t>Xarajatlar bo‘yicha taxminlar EBITDA marjasining yaxshilanishida aks etadi: 2024 yilda 1,3% bo‘lgan marja 2025 yilda 1,8% ga, keyingi yillarda esa 20% dan yuqoriga ko‘tarilishi prognoz qilinmoqda. Marjaning kengayishi kompaniya o‘sishi bilan operatsion samaradorlik va masshtab effektlari hisobiga yuzaga keladi. Xarajatlar tuzilmasi barqaror bo‘lib qoladi, yaqin kelajakda asosiy xomashyo narxlarida sezilarli o‘sish kutilmayapti.</w:t>
      </w:r>
    </w:p>
    <w:p>
      <w:r>
        <w:t>Aylanma kapital bo‘yicha taxminlar kompaniyaning zaxiralar va debitorlik qarzlarini boshqarishni optimallashtirish bo‘yicha doimiy harakatlariga asoslanadi. 2024 yil boshida aylanma kapital UZS 6,2 milliarddan 2025 yil boshida UZS 9,1 milliardga oshgan bo‘lsa-da, bu asosan daromad o‘sishini qo‘llab-quvvatlash uchun zaxiralar hajmining ko‘payishi bilan bog‘liq. Likvidlilik ko‘rsatkichlari shu davrda 6,4x dan 4,2x gacha pasayganiga qaramay, qabul qilinadigan me’yorlar doirasida qolmoqda va kompaniyaning qisqa muddatli moliyaviy moslashuvchanligi yetarli ekanini ko‘rsatadi. Kredit liniyasi aylanma kapital ehtiyojlarini qo‘llab-quvvatlash uchun mo‘ljallangan bo‘lib, kompaniyaga likvidlilik cheklovlarisiz bozor imkoniyatlaridan foydalanish imkonini beradi.</w:t>
      </w:r>
    </w:p>
    <w:p w14:paraId="7BFF803F" w14:textId="77777777" w:rsidR="002B62EA" w:rsidRPr="009B2B9D" w:rsidRDefault="002B62EA" w:rsidP="00275396">
      <w:pPr>
        <w:spacing w:after="0"/>
        <w:ind w:right="-426"/>
        <w:jc w:val="both"/>
        <w:rPr>
          <w:rFonts w:cstheme="minorHAnsi"/>
          <w:i/>
          <w:noProof/>
          <w:sz w:val="20"/>
          <w:szCs w:val="20"/>
          <w:lang w:val="en-GB"/>
        </w:rPr>
      </w:pPr>
    </w:p>
    <w:p w14:paraId="067AE1CC" w14:textId="13E7E33B" w:rsidR="007F1334" w:rsidRDefault="001009E4" w:rsidP="007B60BF">
      <w:pPr>
        <w:spacing w:after="0"/>
        <w:ind w:right="49"/>
        <w:jc w:val="both"/>
        <w:rPr>
          <w:rFonts w:cstheme="minorHAnsi"/>
          <w:i/>
          <w:noProof/>
          <w:sz w:val="20"/>
          <w:szCs w:val="20"/>
          <w:lang w:val="en-GB"/>
        </w:rPr>
      </w:pPr>
      <w:r w:rsidRPr="009B2B9D">
        <w:rPr>
          <w:rFonts w:cstheme="minorHAnsi"/>
          <w:b/>
          <w:bCs/>
          <w:i/>
          <w:noProof/>
          <w:sz w:val="20"/>
          <w:szCs w:val="20"/>
          <w:lang w:val="en-GB"/>
        </w:rPr>
        <w:t>Break-even calculations / Downside scenario</w:t>
      </w:r>
      <w:r w:rsidR="00275396" w:rsidRPr="009B2B9D">
        <w:rPr>
          <w:rFonts w:cstheme="minorHAnsi"/>
          <w:i/>
          <w:noProof/>
          <w:sz w:val="20"/>
          <w:szCs w:val="20"/>
          <w:lang w:val="en-GB"/>
        </w:rPr>
      </w:r>
      <w:r w:rsidR="00275396" w:rsidRPr="009B2B9D">
        <w:rPr>
          <w:rFonts w:cstheme="minorHAnsi"/>
          <w:i/>
          <w:noProof/>
          <w:sz w:val="20"/>
          <w:szCs w:val="20"/>
          <w:lang w:val="en-GB"/>
        </w:rPr>
      </w:r>
      <w:r w:rsidR="00275396" w:rsidRPr="009B2B9D">
        <w:rPr>
          <w:rFonts w:cstheme="minorHAnsi"/>
          <w:i/>
          <w:noProof/>
          <w:sz w:val="20"/>
          <w:szCs w:val="20"/>
          <w:lang w:val="en-GB"/>
        </w:rPr>
      </w:r>
    </w:p>
    <w:p w14:paraId="563B0CE6" w14:textId="77777777" w:rsidR="002B62EA" w:rsidRDefault="002B62EA" w:rsidP="007B60BF">
      <w:pPr>
        <w:spacing w:after="0"/>
        <w:ind w:right="49"/>
        <w:jc w:val="both"/>
        <w:rPr>
          <w:rFonts w:cstheme="minorHAnsi"/>
          <w:i/>
          <w:noProof/>
          <w:sz w:val="20"/>
          <w:szCs w:val="20"/>
          <w:lang w:val="en-GB"/>
        </w:rPr>
      </w:pPr>
      <w:r>
        <w:t>Kompaniyaning moliyaviy prognozlari tahlili, bashorat davrida rentabellik va qarzni xizmat ko‘rsatish qobiliyatida sezilarli yaxshilanishni ko‘rsatadi. 2025-yilda EBITDA 2,3 milliard UZS darajasida prognoz qilinmoqda va EBITDA marjasi 1,8% ni tashkil etadi, 2026-yilda esa bu ko‘rsatkich keskin oshib, 32,1 milliard UZS va 20,3% marjaga yetadi hamda keyingi yillarda yanada mustahkamlanadi. Qarzni xizmat ko‘rsatish majburiyatlari 2025-yilda boshlanadi, asosiy qarz to‘lovlari 1,9 milliard UZS ni tashkil etadi, 2026-yilda 20,1 milliard UZS ga oshadi va undan keyin har yili 12 milliard UZS atrofida barqarorlashadi.</w:t>
      </w:r>
    </w:p>
    <w:p>
      <w:r>
        <w:t>2025-yil prognozlariga ko‘ra, kompaniyaning EBITDA ko‘rsatkichlari qarzni xizmat ko‘rsatish talablarini kichik farq bilan qoplaydi, bu esa qarzni xizmat ko‘rsatish uchun break-even nuqtasi taxminan 2,3 milliard UZS EBITDA darajasida ekanligini bildiradi. 2025-yilda daromad yoki marjaning sezilarli darajada past bo‘lishi DSCR ko‘rsatkichining 1.0x dan past bo‘lishiga olib kelishi mumkin, bu esa qarzni o‘z vaqtida qaytarishni xavf ostiga qo‘yadi. Biroq, 2026-yildan boshlab prognoz qilinayotgan EBITDA qarzni xizmat ko‘rsatishda sezilarli xavfsizlik zaxirasini ta’minlaydi, bunda EBITDA yillik qarz to‘lovidan 1,5 baravardan ko‘proqqa yetadi va marjalar 20% dan yuqorida barqarorlashadi.</w:t>
      </w:r>
    </w:p>
    <w:p>
      <w:r>
        <w:t>Downside ssenariyni stress-test qilish natijasida, 2025-yilda daromadning 10-15% dan ko‘proqqa pasayishi yoki kutilgan marja yaxshilanishiga erishilmasligi, shu yilda qarz majburiyatlarini qoplash uchun yetarli pul oqimini ta’minlamasligi mumkin. Shu sababli, to‘lovning birinchi yilida xavfsizlik zaxirasi cheklangan, biroq rentabellik kuchaygani sari keyingi yillarda sezilarli darajada yaxshilanadi. Kompaniyaning kuchli daromad o‘sish sur’ati va sohaning talabdagi zarbalarga nisbatan barqarorligi downside risklarni yumshatuvchi omil sifatida xizmat qiladi.</w:t>
      </w:r>
    </w:p>
    <w:p w14:paraId="456D609E" w14:textId="77777777" w:rsidR="002B62EA" w:rsidRPr="009B2B9D" w:rsidRDefault="002B62EA" w:rsidP="007B60BF">
      <w:pPr>
        <w:spacing w:after="0"/>
        <w:ind w:right="49"/>
        <w:jc w:val="both"/>
        <w:rPr>
          <w:rFonts w:cstheme="minorHAnsi"/>
          <w:i/>
          <w:sz w:val="20"/>
          <w:szCs w:val="20"/>
        </w:rPr>
      </w:pPr>
    </w:p>
    <w:p w14:paraId="25CF0198" w14:textId="77777777" w:rsidR="008A2F79" w:rsidRDefault="008A2F79" w:rsidP="008A2F79">
      <w:pPr>
        <w:spacing w:after="0" w:line="240" w:lineRule="auto"/>
        <w:jc w:val="both"/>
        <w:rPr>
          <w:rFonts w:ascii="Calibri" w:hAnsi="Calibri" w:cstheme="minorHAnsi"/>
          <w:b/>
          <w:color w:val="000000"/>
          <w:sz w:val="20"/>
          <w:szCs w:val="20"/>
        </w:rPr>
      </w:pPr>
    </w:p>
    <w:p w14:paraId="1119040B" w14:textId="56CA3137" w:rsidR="007F1334" w:rsidRPr="00A6113C" w:rsidRDefault="007F1334" w:rsidP="008A2F79">
      <w:pPr>
        <w:spacing w:after="0" w:line="240" w:lineRule="auto"/>
        <w:jc w:val="both"/>
        <w:rPr>
          <w:rFonts w:ascii="Calibri" w:hAnsi="Calibri" w:cstheme="minorHAnsi"/>
          <w:b/>
          <w:bCs/>
          <w:sz w:val="20"/>
          <w:szCs w:val="20"/>
        </w:rPr>
      </w:pPr>
      <w:r w:rsidRPr="00A6113C">
        <w:rPr>
          <w:rFonts w:ascii="Calibri" w:hAnsi="Calibri" w:cstheme="minorHAnsi"/>
          <w:b/>
          <w:color w:val="000000"/>
          <w:sz w:val="20"/>
          <w:szCs w:val="20"/>
        </w:rPr>
        <w:t>Bank relationship risk →</w:t>
      </w:r>
      <w:r w:rsidRPr="00A6113C">
        <w:rPr>
          <w:rFonts w:ascii="Calibri" w:hAnsi="Calibri" w:cstheme="minorHAnsi"/>
          <w:b/>
          <w:bCs/>
          <w:sz w:val="20"/>
          <w:szCs w:val="20"/>
        </w:rPr>
      </w:r>
      <w:sdt>
        <w:sdtPr>
          <w:rPr>
            <w:rFonts w:ascii="Calibri" w:hAnsi="Calibri" w:cstheme="minorHAnsi"/>
            <w:b/>
            <w:bCs/>
            <w:sz w:val="20"/>
            <w:szCs w:val="20"/>
          </w:rPr>
          <w:id w:val="-1691206252"/>
          <w:lock w:val="sdtLocked"/>
          <w:placeholder>
            <w:docPart w:val="DefaultPlaceholder_-1854013438"/>
          </w:placeholder>
          <w:dropDownList>
            <w:listItem w:displayText="Low" w:value="Low"/>
            <w:listItem w:displayText="Moderate" w:value="Moderate"/>
            <w:listItem w:displayText="High" w:value="High"/>
          </w:dropDownList>
        </w:sdtPr>
        <w:sdtContent>
          <w:r w:rsidR="008C7753">
            <w:rPr>
              <w:rFonts w:ascii="Calibri" w:hAnsi="Calibri" w:cstheme="minorHAnsi"/>
              <w:b/>
              <w:bCs/>
              <w:sz w:val="20"/>
              <w:szCs w:val="20"/>
            </w:rPr>
            <w:t>Low</w:t>
          </w:r>
        </w:sdtContent>
      </w:sdt>
    </w:p>
    <w:p w14:paraId="700119B0" w14:textId="10206059" w:rsidR="007F1334" w:rsidRDefault="007F1334" w:rsidP="00D03887">
      <w:pPr>
        <w:spacing w:after="0" w:line="240" w:lineRule="auto"/>
        <w:jc w:val="both"/>
        <w:rPr>
          <w:rFonts w:ascii="Calibri" w:hAnsi="Calibri"/>
          <w:i/>
          <w:sz w:val="20"/>
          <w:szCs w:val="20"/>
        </w:rPr>
      </w:pPr>
      <w:r>
        <w:t>Mijoz bank uchun sezilarli tijorat qiymatini namoyon etadi, bu Yunusobod filiali uchun yuqori qiymatli mijoz sifatida tasniflanishi va ijobiy kredit tarixiga ega ekanligi bilan tasdiqlanadi. Mijoz 2021-yildan 2024-yil oktyabrigacha asosiy bank xizmatlarini Ipoteka Bank orqali amalga oshirgan, shundan so‘ng asosiy hisob raqamini Milliy Bankka o‘tkazgan va hozirda u yerda asosiy hisob raqamiga ega. O‘rtacha oylik hisob raqami aylanmasi barqaror bo‘lib, 2024-yilda 6,7 milliard so‘mga yetgan va 2025-yilda 9,2 milliard so‘mgacha oshishi prognoz qilinmoqda, bu esa mijoz biznesining kengayib borayotgan hajmi va barqaror daromad o‘sishini aks ettiradi.</w:t>
      </w:r>
    </w:p>
    <w:p>
      <w:r>
        <w:t>Hozirda mijozning asosiy hisob raqami boshqa bankda bo‘lsa-da, Milliy Bank bilan munosabatlar rivojlanmoqda va mijoz kelajakda qo‘shimcha kelishuvlar orqali hamkorlikni kengaytirish niyatini bildirgan. Mijozning kuchli ichki reytingi (Class 1) va mavjud kredit liniyalari bo‘yicha muddati o‘tgan to‘lovlarning yo‘qligi munosabatlar sifatini yanada ta’kidlaydi. Munosabatlarning chuqurligi mijozning yanada faol hamkorlikka tayyorligi bilan mustahkamlanadi, shuningdek, bank tomonidan mijozning strategik ahamiyatli sifatida e’tirof etilishi asosiy hisob raqami faoliyatining yaqinda o‘zgarganligi bilan bog‘liq potensial xatarlarni kamaytiradi. Mijozning barqaror moliyaviy ko‘rsatkichlari va ijobiy komplayens amaliyoti umumiy risk profilini yaxshilaydi va hamkorlikni davom ettirish hamda kengaytirish uchun asos yaratadi.</w:t>
      </w:r>
    </w:p>
    <w:p w14:paraId="01B296D5" w14:textId="77777777" w:rsidR="002B62EA" w:rsidRDefault="002B62EA" w:rsidP="00D03887">
      <w:pPr>
        <w:spacing w:after="0" w:line="240" w:lineRule="auto"/>
        <w:jc w:val="both"/>
        <w:rPr>
          <w:rFonts w:ascii="Calibri" w:hAnsi="Calibri"/>
          <w:i/>
          <w:sz w:val="20"/>
          <w:szCs w:val="20"/>
        </w:rPr>
      </w:pPr>
    </w:p>
    <w:p w14:paraId="30A4BC8E" w14:textId="77777777" w:rsidR="002B62EA" w:rsidRPr="00A6113C" w:rsidRDefault="002B62EA" w:rsidP="00D03887">
      <w:pPr>
        <w:spacing w:after="0" w:line="240" w:lineRule="auto"/>
        <w:jc w:val="both"/>
        <w:rPr>
          <w:rFonts w:ascii="Calibri" w:hAnsi="Calibri" w:cstheme="minorHAnsi"/>
          <w:b/>
          <w:bCs/>
          <w:i/>
          <w:sz w:val="20"/>
          <w:szCs w:val="20"/>
        </w:rPr>
      </w:pPr>
    </w:p>
    <w:p w14:paraId="7EF38457" w14:textId="77777777" w:rsidR="007F1334" w:rsidRPr="00A6113C" w:rsidRDefault="007F1334" w:rsidP="007F1334">
      <w:pPr>
        <w:spacing w:after="0" w:line="240" w:lineRule="auto"/>
        <w:jc w:val="both"/>
        <w:rPr>
          <w:rFonts w:ascii="Calibri" w:hAnsi="Calibri" w:cstheme="minorHAnsi"/>
          <w:b/>
          <w:color w:val="000000"/>
          <w:sz w:val="20"/>
          <w:szCs w:val="20"/>
        </w:rPr>
      </w:pPr>
    </w:p>
    <w:p w14:paraId="4345CD51" w14:textId="026E43C6" w:rsidR="00C4520B" w:rsidRDefault="00C4520B" w:rsidP="007F1334">
      <w:pPr>
        <w:spacing w:after="0" w:line="240" w:lineRule="auto"/>
        <w:jc w:val="both"/>
        <w:rPr>
          <w:rFonts w:ascii="Calibri" w:hAnsi="Calibri" w:cstheme="minorHAnsi"/>
          <w:b/>
          <w:color w:val="000000"/>
          <w:sz w:val="20"/>
          <w:szCs w:val="20"/>
        </w:rPr>
      </w:pPr>
      <w:r>
        <w:rPr>
          <w:rFonts w:ascii="Calibri" w:hAnsi="Calibri" w:cstheme="minorHAnsi"/>
          <w:b/>
          <w:color w:val="000000"/>
          <w:sz w:val="20"/>
          <w:szCs w:val="20"/>
        </w:rPr>
        <w:t>TRANSACTION RISK factors</w:t>
      </w:r>
    </w:p>
    <w:p w14:paraId="59FBBF21" w14:textId="77777777" w:rsidR="00C4520B" w:rsidRDefault="00C4520B" w:rsidP="007F1334">
      <w:pPr>
        <w:spacing w:after="0" w:line="240" w:lineRule="auto"/>
        <w:jc w:val="both"/>
        <w:rPr>
          <w:rFonts w:ascii="Calibri" w:hAnsi="Calibri" w:cstheme="minorHAnsi"/>
          <w:b/>
          <w:color w:val="000000"/>
          <w:sz w:val="20"/>
          <w:szCs w:val="20"/>
        </w:rPr>
      </w:pPr>
    </w:p>
    <w:p w14:paraId="5F29035A" w14:textId="7B06803B" w:rsidR="007F1334" w:rsidRPr="00A6113C" w:rsidRDefault="007F1334" w:rsidP="007F1334">
      <w:pPr>
        <w:spacing w:after="0" w:line="240" w:lineRule="auto"/>
        <w:jc w:val="both"/>
        <w:rPr>
          <w:rFonts w:ascii="Calibri" w:hAnsi="Calibri" w:cstheme="minorHAnsi"/>
          <w:b/>
          <w:color w:val="000000"/>
          <w:sz w:val="20"/>
          <w:szCs w:val="20"/>
        </w:rPr>
      </w:pPr>
      <w:r w:rsidRPr="00A6113C">
        <w:rPr>
          <w:rFonts w:ascii="Calibri" w:hAnsi="Calibri" w:cstheme="minorHAnsi"/>
          <w:b/>
          <w:color w:val="000000"/>
          <w:sz w:val="20"/>
          <w:szCs w:val="20"/>
        </w:rPr>
        <w:t>Transactional risk →</w:t>
      </w:r>
      <w:r w:rsidRPr="00A6113C">
        <w:rPr>
          <w:rFonts w:ascii="Calibri" w:hAnsi="Calibri" w:cstheme="minorHAnsi"/>
          <w:b/>
          <w:bCs/>
          <w:sz w:val="20"/>
          <w:szCs w:val="20"/>
        </w:rPr>
      </w:r>
      <w:sdt>
        <w:sdtPr>
          <w:rPr>
            <w:rFonts w:ascii="Calibri" w:hAnsi="Calibri" w:cstheme="minorHAnsi"/>
            <w:b/>
            <w:bCs/>
            <w:sz w:val="20"/>
            <w:szCs w:val="20"/>
          </w:rPr>
          <w:id w:val="-666860664"/>
          <w:lock w:val="sdtLocked"/>
          <w:placeholder>
            <w:docPart w:val="DefaultPlaceholder_-1854013438"/>
          </w:placeholder>
          <w:dropDownList>
            <w:listItem w:displayText="Low" w:value="Low"/>
            <w:listItem w:displayText="Moderate" w:value="Moderate"/>
            <w:listItem w:displayText="High" w:value="High"/>
          </w:dropDownList>
        </w:sdtPr>
        <w:sdtContent>
          <w:r w:rsidR="00576387">
            <w:rPr>
              <w:rFonts w:ascii="Calibri" w:hAnsi="Calibri" w:cstheme="minorHAnsi"/>
              <w:b/>
              <w:bCs/>
              <w:sz w:val="20"/>
              <w:szCs w:val="20"/>
            </w:rPr>
            <w:t>Low</w:t>
          </w:r>
        </w:sdtContent>
      </w:sdt>
    </w:p>
    <w:p w14:paraId="4BA3C27F" w14:textId="77777777" w:rsidR="00F25541" w:rsidRDefault="00F25541" w:rsidP="00790DFE">
      <w:pPr>
        <w:pStyle w:val="BodyTextIndent2"/>
        <w:numPr>
          <w:ilvl w:val="0"/>
          <w:numId w:val="0"/>
        </w:numPr>
        <w:tabs>
          <w:tab w:val="num" w:pos="720"/>
        </w:tabs>
        <w:spacing w:line="276" w:lineRule="auto"/>
        <w:rPr>
          <w:rFonts w:asciiTheme="minorHAnsi" w:hAnsiTheme="minorHAnsi" w:cstheme="minorHAnsi"/>
          <w:b/>
          <w:bCs/>
          <w:sz w:val="20"/>
          <w:szCs w:val="20"/>
        </w:rPr>
      </w:pPr>
      <w:r>
        <w:t>Taklif etilayotgan tranzaksiya USD 1,000,000 umumiy limiti va 36 oylik muddatga ega bo‘lgan aylanma kredit liniyasi sifatida tuzilgan. Har bir jalb etish 12 oylik davrga mo‘ljallangan bo‘lib, asosiy qarz har bir siklning so‘nggi uch oyida teng qismlarda qaytariladi. Ushbu kredit liniyasining asosiy maqsadi — ishchi kapitalni moliyalashtirish, xususan, O‘zbekistonning issiq iqlimida yuqori aylanish va barqaror talab bilan ajralib turadigan alkogolsiz ichimliklar xaridini ta’minlashdir. Bu esa qarzni xizmat ko‘rsatish uchun pul oqimining ishonchliligini qo‘llab-quvvatlaydi. Qarzning asosiy manbai — kompaniyaning ulgurji ichimliklar savdosidan olingan operatsion pul oqimlari bo‘lib, bu kompaniyaning kuchli ichki reytingi (1st class) va mavjud kredit liniyalari bo‘yicha muddati o‘tgan to‘lovlarning yo‘qligi bilan tasdiqlangan ijobiy qarz xizmat ko‘rsatish tarixiga asoslanadi.</w:t>
      </w:r>
    </w:p>
    <w:p>
      <w:r>
        <w:t>Ta’minot riski CONGLOMATARE PRODUCTS ga tegishli bo‘lgan ko‘chmas mulkka ipoteka qo‘yilishi orqali kamaytirilgan bo‘lib, ta’minot nisbati ichki kredit siyosati talablariga mos keladi. Mablag‘larni ajratish standart kredit siyosati va mahsulot pasporti S-3 asosida amalga oshiriladi hamda ichki nazorat talablariga rioya etilishini ta’minlaydi. Umuman olganda, tranzaksiya tuzilmasi va to‘lov manbalari mustahkam, biroq sohaning sariq industrial risk reytingi doimiy monitoringni talab qiladi.</w:t>
      </w:r>
    </w:p>
    <w:p w14:paraId="198D174B" w14:textId="77777777" w:rsidR="002B62EA" w:rsidRDefault="002B62EA" w:rsidP="00790DFE">
      <w:pPr>
        <w:pStyle w:val="BodyTextIndent2"/>
        <w:numPr>
          <w:ilvl w:val="0"/>
          <w:numId w:val="0"/>
        </w:numPr>
        <w:tabs>
          <w:tab w:val="num" w:pos="720"/>
        </w:tabs>
        <w:spacing w:line="276" w:lineRule="auto"/>
        <w:rPr>
          <w:rFonts w:asciiTheme="minorHAnsi" w:hAnsiTheme="minorHAnsi" w:cstheme="minorHAnsi"/>
          <w:b/>
          <w:bCs/>
          <w:sz w:val="20"/>
          <w:szCs w:val="20"/>
        </w:rPr>
      </w:pPr>
    </w:p>
    <w:p w14:paraId="63DDC2A2" w14:textId="77777777" w:rsidR="002B62EA" w:rsidRDefault="002B62EA" w:rsidP="00790DFE">
      <w:pPr>
        <w:pStyle w:val="BodyTextIndent2"/>
        <w:numPr>
          <w:ilvl w:val="0"/>
          <w:numId w:val="0"/>
        </w:numPr>
        <w:tabs>
          <w:tab w:val="num" w:pos="720"/>
        </w:tabs>
        <w:spacing w:line="276" w:lineRule="auto"/>
        <w:rPr>
          <w:rFonts w:asciiTheme="minorHAnsi" w:hAnsiTheme="minorHAnsi" w:cstheme="minorHAnsi"/>
          <w:b/>
          <w:bCs/>
          <w:sz w:val="20"/>
          <w:szCs w:val="20"/>
        </w:rPr>
      </w:pPr>
    </w:p>
    <w:p w14:paraId="79E1339C" w14:textId="50E5782D" w:rsidR="00F17EE6" w:rsidRDefault="00F25541" w:rsidP="00790DFE">
      <w:pPr>
        <w:pStyle w:val="BodyTextIndent2"/>
        <w:numPr>
          <w:ilvl w:val="0"/>
          <w:numId w:val="0"/>
        </w:numPr>
        <w:tabs>
          <w:tab w:val="num" w:pos="720"/>
        </w:tabs>
        <w:spacing w:line="276" w:lineRule="auto"/>
        <w:rPr>
          <w:rFonts w:ascii="Calibri" w:hAnsi="Calibri" w:cstheme="minorHAnsi"/>
          <w:b/>
          <w:bCs/>
          <w:sz w:val="20"/>
          <w:szCs w:val="20"/>
        </w:rPr>
      </w:pPr>
      <w:r>
        <w:rPr>
          <w:rFonts w:asciiTheme="minorHAnsi" w:hAnsiTheme="minorHAnsi" w:cstheme="minorHAnsi"/>
          <w:b/>
          <w:bCs/>
          <w:sz w:val="20"/>
          <w:szCs w:val="20"/>
        </w:rPr>
        <w:t>Collateral risk →</w:t>
      </w:r>
      <w:r w:rsidRPr="00A6113C">
        <w:rPr>
          <w:rFonts w:ascii="Calibri" w:hAnsi="Calibri" w:cstheme="minorHAnsi"/>
          <w:b/>
          <w:bCs/>
          <w:sz w:val="20"/>
          <w:szCs w:val="20"/>
        </w:rPr>
      </w:r>
      <w:sdt>
        <w:sdtPr>
          <w:rPr>
            <w:rFonts w:ascii="Calibri" w:hAnsi="Calibri" w:cstheme="minorHAnsi"/>
            <w:b/>
            <w:bCs/>
            <w:sz w:val="20"/>
            <w:szCs w:val="20"/>
          </w:rPr>
          <w:id w:val="856932768"/>
          <w:lock w:val="sdtLocked"/>
          <w:placeholder>
            <w:docPart w:val="DefaultPlaceholder_-1854013438"/>
          </w:placeholder>
          <w:dropDownList>
            <w:listItem w:displayText="Low" w:value="Low"/>
            <w:listItem w:displayText="Medium" w:value="Medium"/>
            <w:listItem w:displayText="High" w:value="High"/>
          </w:dropDownList>
        </w:sdtPr>
        <w:sdtContent>
          <w:r w:rsidR="008A2F79">
            <w:rPr>
              <w:rFonts w:ascii="Calibri" w:hAnsi="Calibri" w:cstheme="minorHAnsi"/>
              <w:b/>
              <w:bCs/>
              <w:sz w:val="20"/>
              <w:szCs w:val="20"/>
            </w:rPr>
            <w:t>Low</w:t>
          </w:r>
        </w:sdtContent>
      </w:sdt>
    </w:p>
    <w:p w14:paraId="3351360C" w14:textId="77777777" w:rsidR="002B62EA" w:rsidRDefault="002B62EA" w:rsidP="00790DFE">
      <w:pPr>
        <w:pStyle w:val="BodyTextIndent2"/>
        <w:numPr>
          <w:ilvl w:val="0"/>
          <w:numId w:val="0"/>
        </w:numPr>
        <w:tabs>
          <w:tab w:val="num" w:pos="720"/>
        </w:tabs>
        <w:spacing w:line="276" w:lineRule="auto"/>
        <w:rPr>
          <w:rFonts w:asciiTheme="minorHAnsi" w:hAnsiTheme="minorHAnsi" w:cstheme="minorHAnsi"/>
          <w:sz w:val="20"/>
          <w:szCs w:val="20"/>
        </w:rPr>
      </w:pPr>
      <w:r>
        <w:t>Taklif etilayotgan kredit liniyasi uchun ta’minot sifatida LLC Conglomerate Solutions kompaniyasiga tegishli ko‘chmas mulk hujjatlar orqali tasdiqlangan. Ta’minot qoplama koeffitsienti 120% ni tashkil etadi, bu esa standart minimal talablaridan yuqori bo‘lib, ta’minot qiymati pasayishi ehtimoliga qarshi yetarli xavfsizlik yostig‘ini ta’minlaydi. Ko‘chmas mulk ta’minoti ko‘chmas mulk sifatida tasniflangan bo‘lib, mahalliy sharoitda, ayniqsa ko‘rsatilgan shaharlik joylashuv hisobga olinganda, yuqori likvidlilik va bozorda sotiluvchanlikka ega. Baholash bank bilan kelishilgan holda o‘tkazilgan va ko‘rsatilgan qoplama yetarliligini tasdiqlaydi. Yuridik jihatdan ta’minotning ijro etilishi aniq egalik va ta’minotning qarzdorning affillangan subyekti nomiga rasmiylashtirilgani bilan ta’minlangan, bu esa defolt holatida undirish bilan bog‘liq xatarlarni kamaytiradi.</w:t>
      </w:r>
    </w:p>
    <w:p w14:paraId="112DA6AB" w14:textId="77777777" w:rsidR="002B62EA" w:rsidRPr="00582B58" w:rsidRDefault="002B62EA" w:rsidP="00790DFE">
      <w:pPr>
        <w:pStyle w:val="BodyTextIndent2"/>
        <w:numPr>
          <w:ilvl w:val="0"/>
          <w:numId w:val="0"/>
        </w:numPr>
        <w:tabs>
          <w:tab w:val="num" w:pos="720"/>
        </w:tabs>
        <w:spacing w:line="276" w:lineRule="auto"/>
        <w:rPr>
          <w:rFonts w:asciiTheme="minorHAnsi" w:hAnsiTheme="minorHAnsi" w:cstheme="minorHAnsi"/>
          <w:sz w:val="20"/>
          <w:szCs w:val="20"/>
        </w:rPr>
      </w:pPr>
    </w:p>
    <w:tbl>
      <w:tblPr>
        <w:tblStyle w:val="TableGrid"/>
        <w:tblW w:w="13005" w:type="dxa"/>
        <w:tblInd w:w="-1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3005"/>
      </w:tblGrid>
      <w:tr w:rsidR="005A14B9" w:rsidRPr="00424480" w14:paraId="600343C6" w14:textId="77777777" w:rsidTr="006A6901">
        <w:trPr>
          <w:trHeight w:val="394"/>
        </w:trPr>
        <w:tc>
          <w:tcPr>
            <w:tcW w:w="13005" w:type="dxa"/>
            <w:shd w:val="clear" w:color="auto" w:fill="92D050"/>
            <w:vAlign w:val="center"/>
          </w:tcPr>
          <w:p w14:paraId="4F85EDDE" w14:textId="77777777" w:rsidR="005A14B9" w:rsidRPr="00424480" w:rsidRDefault="005A14B9" w:rsidP="006A6901">
            <w:pPr>
              <w:pStyle w:val="Subtitle"/>
              <w:numPr>
                <w:ilvl w:val="0"/>
                <w:numId w:val="3"/>
              </w:numPr>
              <w:spacing w:line="276" w:lineRule="auto"/>
              <w:ind w:left="0"/>
              <w:jc w:val="left"/>
              <w:rPr>
                <w:rFonts w:asciiTheme="minorHAnsi" w:hAnsiTheme="minorHAnsi" w:cstheme="minorHAnsi"/>
                <w:b w:val="0"/>
                <w:bCs w:val="0"/>
                <w:sz w:val="24"/>
                <w:szCs w:val="24"/>
                <w:lang w:val="en-GB"/>
              </w:rPr>
            </w:pPr>
            <w:r w:rsidRPr="00424480">
              <w:rPr>
                <w:rFonts w:asciiTheme="minorHAnsi" w:hAnsiTheme="minorHAnsi" w:cstheme="minorHAnsi"/>
                <w:bCs w:val="0"/>
                <w:sz w:val="24"/>
                <w:szCs w:val="24"/>
                <w:lang w:val="en-GB"/>
              </w:rPr>
              <w:t xml:space="preserve">III. </w:t>
            </w:r>
            <w:r w:rsidRPr="00424480">
              <w:rPr>
                <w:rFonts w:asciiTheme="minorHAnsi" w:hAnsiTheme="minorHAnsi" w:cstheme="minorHAnsi"/>
                <w:bCs w:val="0"/>
                <w:sz w:val="24"/>
                <w:szCs w:val="24"/>
              </w:rPr>
              <w:t>SUMMARY AND RISK PROPOSAL</w:t>
            </w:r>
          </w:p>
        </w:tc>
      </w:tr>
    </w:tbl>
    <w:p w14:paraId="14B13D17" w14:textId="77777777" w:rsidR="007F1334" w:rsidRDefault="007F1334" w:rsidP="006D7DC4">
      <w:pPr>
        <w:pStyle w:val="BodyTextIndent2"/>
        <w:numPr>
          <w:ilvl w:val="0"/>
          <w:numId w:val="0"/>
        </w:numPr>
        <w:tabs>
          <w:tab w:val="num" w:pos="720"/>
        </w:tabs>
        <w:spacing w:before="240"/>
        <w:rPr>
          <w:rFonts w:ascii="Calibri" w:hAnsi="Calibri" w:cstheme="minorHAnsi"/>
          <w:bCs/>
          <w:sz w:val="20"/>
          <w:szCs w:val="20"/>
        </w:rPr>
      </w:pPr>
      <w:r w:rsidRPr="00A6113C">
        <w:rPr>
          <w:rFonts w:ascii="Calibri" w:hAnsi="Calibri" w:cstheme="minorHAnsi"/>
          <w:bCs/>
          <w:sz w:val="20"/>
          <w:szCs w:val="20"/>
        </w:rPr>
        <w:t>Based on the financial statements and the forecasted business plan, the client mumkin service the debt repayment properly.</w:t>
      </w:r>
      <w:r w:rsidRPr="00A6113C">
        <w:rPr>
          <w:rFonts w:ascii="Calibri" w:hAnsi="Calibri" w:cstheme="minorHAnsi"/>
          <w:b/>
          <w:bCs/>
          <w:sz w:val="20"/>
          <w:szCs w:val="20"/>
        </w:rPr>
      </w:r>
      <w:r w:rsidRPr="00A6113C">
        <w:rPr>
          <w:rFonts w:ascii="Calibri" w:hAnsi="Calibri" w:cstheme="minorHAnsi"/>
          <w:bCs/>
          <w:sz w:val="20"/>
          <w:szCs w:val="20"/>
        </w:rPr>
      </w:r>
    </w:p>
    <w:p w14:paraId="7374BF22" w14:textId="77777777" w:rsidR="007F1334" w:rsidRPr="00A6113C" w:rsidRDefault="007F1334" w:rsidP="007F1334">
      <w:pPr>
        <w:pStyle w:val="BodyTextIndent2"/>
        <w:numPr>
          <w:ilvl w:val="0"/>
          <w:numId w:val="0"/>
        </w:numPr>
        <w:tabs>
          <w:tab w:val="num" w:pos="720"/>
        </w:tabs>
        <w:rPr>
          <w:rFonts w:ascii="Calibri" w:hAnsi="Calibri" w:cstheme="minorHAnsi"/>
          <w:bCs/>
          <w:sz w:val="20"/>
          <w:szCs w:val="20"/>
        </w:rPr>
      </w:pPr>
    </w:p>
    <w:p w14:paraId="60D56646" w14:textId="74A14031" w:rsidR="007F1334" w:rsidRPr="00A6113C" w:rsidRDefault="001B18DF" w:rsidP="006352D0">
      <w:pPr>
        <w:pStyle w:val="BodyTextIndent2"/>
        <w:numPr>
          <w:ilvl w:val="0"/>
          <w:numId w:val="0"/>
        </w:numPr>
        <w:rPr>
          <w:rFonts w:ascii="Calibri" w:hAnsi="Calibri" w:cstheme="minorHAnsi"/>
          <w:b/>
          <w:bCs/>
          <w:sz w:val="20"/>
          <w:szCs w:val="20"/>
        </w:rPr>
      </w:pPr>
      <w:r>
        <w:rPr>
          <w:rFonts w:ascii="Calibri" w:hAnsi="Calibri" w:cstheme="minorHAnsi"/>
          <w:b/>
          <w:bCs/>
          <w:sz w:val="20"/>
          <w:szCs w:val="20"/>
        </w:rPr>
        <w:t xml:space="preserve">Listed </w:t>
      </w:r>
      <w:r w:rsidR="007F1334" w:rsidRPr="00A6113C">
        <w:rPr>
          <w:rFonts w:ascii="Calibri" w:hAnsi="Calibri" w:cstheme="minorHAnsi"/>
          <w:b/>
          <w:bCs/>
          <w:sz w:val="20"/>
          <w:szCs w:val="20"/>
        </w:rPr>
        <w:t>deviations</w:t>
      </w:r>
      <w:r>
        <w:rPr>
          <w:rFonts w:ascii="Calibri" w:hAnsi="Calibri" w:cstheme="minorHAnsi"/>
          <w:b/>
          <w:bCs/>
          <w:sz w:val="20"/>
          <w:szCs w:val="20"/>
        </w:rPr>
        <w:t xml:space="preserve">/ derogations </w:t>
      </w:r>
      <w:r w:rsidR="007F1334" w:rsidRPr="00A6113C">
        <w:rPr>
          <w:rFonts w:ascii="Calibri" w:hAnsi="Calibri" w:cstheme="minorHAnsi"/>
          <w:b/>
          <w:bCs/>
          <w:sz w:val="20"/>
          <w:szCs w:val="20"/>
        </w:rPr>
        <w:t xml:space="preserve">from the …… </w:t>
      </w:r>
      <w:r w:rsidR="00184690">
        <w:rPr>
          <w:rFonts w:ascii="Calibri" w:hAnsi="Calibri" w:cstheme="minorHAnsi"/>
          <w:b/>
          <w:bCs/>
          <w:sz w:val="20"/>
          <w:szCs w:val="20"/>
        </w:rPr>
        <w:t>OLLP</w:t>
      </w:r>
      <w:r w:rsidR="006352D0">
        <w:rPr>
          <w:rFonts w:ascii="Calibri" w:hAnsi="Calibri" w:cstheme="minorHAnsi"/>
          <w:b/>
          <w:bCs/>
          <w:sz w:val="20"/>
          <w:szCs w:val="20"/>
        </w:rPr>
        <w:t>, Credit Policy, Regulation, GCRP</w:t>
      </w:r>
      <w:r w:rsidR="00184690">
        <w:rPr>
          <w:rFonts w:ascii="Calibri" w:hAnsi="Calibri" w:cstheme="minorHAnsi"/>
          <w:b/>
          <w:bCs/>
          <w:sz w:val="20"/>
          <w:szCs w:val="20"/>
        </w:rPr>
        <w:t xml:space="preserve"> regulations</w:t>
      </w:r>
      <w:r>
        <w:rPr>
          <w:rFonts w:ascii="Calibri" w:hAnsi="Calibri" w:cstheme="minorHAnsi"/>
          <w:b/>
          <w:bCs/>
          <w:sz w:val="20"/>
          <w:szCs w:val="20"/>
        </w:rPr>
        <w:t xml:space="preserve"> to be approved</w:t>
      </w:r>
      <w:r w:rsidR="007F1334" w:rsidRPr="00A6113C">
        <w:rPr>
          <w:rFonts w:ascii="Calibri" w:hAnsi="Calibri" w:cstheme="minorHAnsi"/>
          <w:b/>
          <w:bCs/>
          <w:sz w:val="20"/>
          <w:szCs w:val="20"/>
        </w:rPr>
        <w:t>:</w:t>
      </w:r>
    </w:p>
    <w:p w14:paraId="75C16D0F" w14:textId="77777777" w:rsidR="007F1334" w:rsidRPr="00A6113C" w:rsidRDefault="007F1334" w:rsidP="007F1334">
      <w:pPr>
        <w:pStyle w:val="BodyTextIndent2"/>
        <w:numPr>
          <w:ilvl w:val="0"/>
          <w:numId w:val="29"/>
        </w:numPr>
        <w:rPr>
          <w:rFonts w:ascii="Calibri" w:hAnsi="Calibri" w:cstheme="minorHAnsi"/>
          <w:bCs/>
          <w:sz w:val="20"/>
          <w:szCs w:val="20"/>
        </w:rPr>
      </w:pPr>
      <w:r w:rsidRPr="00A6113C">
        <w:rPr>
          <w:rFonts w:ascii="Calibri" w:hAnsi="Calibri" w:cstheme="minorHAnsi"/>
          <w:bCs/>
          <w:sz w:val="20"/>
          <w:szCs w:val="20"/>
        </w:rPr>
        <w:t>Hech qanday og‘ishlar aniqlanmadi.</w:t>
      </w:r>
    </w:p>
    <w:p w14:paraId="1881CC4B" w14:textId="77777777" w:rsidR="007F1334" w:rsidRPr="00A6113C" w:rsidRDefault="007F1334" w:rsidP="007F1334">
      <w:pPr>
        <w:pStyle w:val="BodyTextIndent2"/>
        <w:numPr>
          <w:ilvl w:val="0"/>
          <w:numId w:val="29"/>
        </w:numPr>
        <w:rPr>
          <w:rFonts w:ascii="Calibri" w:hAnsi="Calibri" w:cstheme="minorHAnsi"/>
          <w:bCs/>
          <w:sz w:val="20"/>
          <w:szCs w:val="20"/>
        </w:rPr>
      </w:pPr>
      <w:r w:rsidRPr="00A6113C">
        <w:rPr>
          <w:rFonts w:ascii="Calibri" w:hAnsi="Calibri" w:cstheme="minorHAnsi"/>
          <w:bCs/>
          <w:sz w:val="20"/>
          <w:szCs w:val="20"/>
        </w:rPr>
        <w:t>Qo'llaniladigan matn mavjud emas.</w:t>
      </w:r>
    </w:p>
    <w:p w14:paraId="468705D4" w14:textId="77777777" w:rsidR="007F1334" w:rsidRPr="00A6113C" w:rsidRDefault="007F1334" w:rsidP="007F1334">
      <w:pPr>
        <w:pStyle w:val="BodyTextIndent2"/>
        <w:numPr>
          <w:ilvl w:val="0"/>
          <w:numId w:val="29"/>
        </w:numPr>
        <w:rPr>
          <w:rFonts w:ascii="Calibri" w:hAnsi="Calibri" w:cstheme="minorHAnsi"/>
          <w:bCs/>
          <w:sz w:val="20"/>
          <w:szCs w:val="20"/>
        </w:rPr>
      </w:pPr>
      <w:r w:rsidRPr="00A6113C">
        <w:rPr>
          <w:rFonts w:ascii="Calibri" w:hAnsi="Calibri" w:cstheme="minorHAnsi"/>
          <w:bCs/>
          <w:sz w:val="20"/>
          <w:szCs w:val="20"/>
        </w:rPr>
        <w:t>Qo‘shimcha aniqlangan og‘ishlar qatoriga kompaniyaning xizmat ko‘rsatuvchi bankini yaqinda o‘zgartirgani ham kiradi, ya’ni mijoz 2024 yil oktyabr oyidan boshlab Ipoteka Bank (Toshkent viloyat filiali)dan National Bank’ga o‘tgan. So‘nggi 12 oy ichida bank bilan munosabatlarning o‘zgarishi standart amaliyotdan chekinish sifatida qayd etiladi va moliyaviy hisobot hamda munosabatlarni boshqarishda uzluksizlikni ta’minlash uchun qo‘shimcha monitoring talab qilishi mumkin. Ushbu bosqichda boshqa og‘ishlar aniqlanmadi.</w:t>
      </w:r>
    </w:p>
    <w:p w14:paraId="7486BAC8" w14:textId="596012D2" w:rsidR="007F1334" w:rsidRDefault="00A9666D" w:rsidP="007F1334">
      <w:pPr>
        <w:pStyle w:val="BodyTextIndent2"/>
        <w:numPr>
          <w:ilvl w:val="0"/>
          <w:numId w:val="0"/>
        </w:numPr>
        <w:tabs>
          <w:tab w:val="num" w:pos="720"/>
        </w:tabs>
        <w:rPr>
          <w:rFonts w:ascii="Calibri" w:hAnsi="Calibri" w:cstheme="minorHAnsi"/>
          <w:bCs/>
          <w:sz w:val="20"/>
          <w:szCs w:val="20"/>
        </w:rPr>
      </w:pPr>
      <w:r>
        <w:rPr>
          <w:rFonts w:ascii="Calibri" w:hAnsi="Calibri" w:cstheme="minorHAnsi"/>
          <w:bCs/>
          <w:sz w:val="20"/>
          <w:szCs w:val="20"/>
        </w:rPr>
        <w:t>The risk officer proposal is to ma'qullash the request as follows:</w:t>
      </w:r>
      <w:r w:rsidR="007F1334">
        <w:rPr>
          <w:rFonts w:ascii="Calibri" w:hAnsi="Calibri" w:cstheme="minorHAnsi"/>
          <w:bCs/>
          <w:sz w:val="20"/>
          <w:szCs w:val="20"/>
        </w:rPr>
      </w:r>
      <w:r w:rsidR="007F1334" w:rsidRPr="007F1334">
        <w:rPr>
          <w:rFonts w:ascii="Calibri" w:hAnsi="Calibri" w:cstheme="minorHAnsi"/>
          <w:b/>
          <w:bCs/>
          <w:sz w:val="20"/>
          <w:szCs w:val="20"/>
        </w:rPr>
      </w:r>
      <w:r w:rsidR="00C4520B">
        <w:rPr>
          <w:rFonts w:ascii="Calibri" w:hAnsi="Calibri" w:cstheme="minorHAnsi"/>
          <w:b/>
          <w:bCs/>
          <w:sz w:val="20"/>
          <w:szCs w:val="20"/>
        </w:rPr>
      </w:r>
      <w:r w:rsidR="007F1334">
        <w:rPr>
          <w:rFonts w:ascii="Calibri" w:hAnsi="Calibri" w:cstheme="minorHAnsi"/>
          <w:bCs/>
          <w:sz w:val="20"/>
          <w:szCs w:val="20"/>
        </w:rPr>
      </w:r>
    </w:p>
    <w:p w14:paraId="304E7234" w14:textId="77777777" w:rsidR="0089472A" w:rsidRDefault="0089472A" w:rsidP="0089472A">
      <w:pPr>
        <w:pStyle w:val="BodyTextIndent2"/>
        <w:numPr>
          <w:ilvl w:val="0"/>
          <w:numId w:val="0"/>
        </w:numPr>
        <w:rPr>
          <w:rFonts w:ascii="Calibri" w:hAnsi="Calibri" w:cstheme="minorHAnsi"/>
          <w:bCs/>
          <w:i/>
          <w:sz w:val="20"/>
          <w:szCs w:val="20"/>
        </w:rPr>
      </w:pPr>
    </w:p>
    <w:p w14:paraId="124EABFA" w14:textId="2FA3542E" w:rsidR="009212A5" w:rsidRPr="002433D0" w:rsidRDefault="006352D0" w:rsidP="006352D0">
      <w:pPr>
        <w:pStyle w:val="BodyTextIndent2"/>
        <w:numPr>
          <w:ilvl w:val="0"/>
          <w:numId w:val="0"/>
        </w:numPr>
        <w:rPr>
          <w:rFonts w:ascii="Calibri" w:hAnsi="Calibri" w:cstheme="minorHAnsi"/>
          <w:bCs/>
          <w:i/>
          <w:sz w:val="20"/>
          <w:szCs w:val="20"/>
        </w:rPr>
      </w:pPr>
      <w:r w:rsidRPr="002433D0">
        <w:rPr>
          <w:rFonts w:ascii="Calibri" w:hAnsi="Calibri" w:cstheme="minorHAnsi"/>
          <w:bCs/>
          <w:i/>
          <w:sz w:val="20"/>
          <w:szCs w:val="20"/>
        </w:rPr>
        <w:t>The mandatory conditions to be implemented should be organized in the following structure:</w:t>
      </w:r>
    </w:p>
    <w:p w14:paraId="31688C63" w14:textId="5230AD52" w:rsidR="004029DD" w:rsidRPr="002433D0" w:rsidRDefault="004029DD" w:rsidP="004029DD">
      <w:pPr>
        <w:pStyle w:val="BodyTextIndent2"/>
        <w:numPr>
          <w:ilvl w:val="0"/>
          <w:numId w:val="50"/>
        </w:numPr>
        <w:rPr>
          <w:rFonts w:ascii="Calibri" w:hAnsi="Calibri" w:cstheme="minorHAnsi"/>
          <w:bCs/>
          <w:i/>
          <w:sz w:val="20"/>
          <w:szCs w:val="20"/>
        </w:rPr>
      </w:pPr>
      <w:r w:rsidRPr="002433D0">
        <w:rPr>
          <w:rFonts w:ascii="Calibri" w:hAnsi="Calibri" w:cstheme="minorHAnsi"/>
          <w:bCs/>
          <w:i/>
          <w:sz w:val="20"/>
          <w:szCs w:val="20"/>
        </w:rPr>
        <w:t>Kredit shartnomasini imzolashdan oldin bir qator oldindan bajarilishi lozim bo‘lgan shartlar mavjud. Qarzdor, ya’ni MChJ "PRODUCTS WATER", kredit hujjatlarida ko‘rsatilganidek, garov sifatida MChJ "Conglomerate solutions"ga tegishli bo‘lgan ko‘chmas mulkni taqdim etishi kerak. Garov bankning ta’minot koeffitsienti talablariga javob berishi lozim, hozirgi baholash natijasiga ko‘ra, ichki siyosatga muvofiq kamida 120% ta’minot darajasi ta’minlangan. Bundan tashqari, ichki mijoz reytingi 3-sinfdan past bo‘lmasligi kerak; hozirda qarzdor 1-sinf reytingiga ega va bu to‘liq mos keladi.</w:t>
      </w:r>
      <w:r w:rsidR="00DA2CEF" w:rsidRPr="002433D0">
        <w:rPr>
          <w:rFonts w:ascii="Calibri" w:hAnsi="Calibri" w:cstheme="minorHAnsi"/>
          <w:bCs/>
          <w:i/>
          <w:sz w:val="20"/>
          <w:szCs w:val="20"/>
        </w:rPr>
      </w:r>
    </w:p>
    <w:p>
      <w:r>
        <w:t>Kredit uchun foiz stavkasi yillik 10% etib belgilangan, bu 25.11.2025 sanasidagi rasmiy tasdiqqa asosan, mijozning dastlabki 9% stavka so‘rovini bekor qiladi. Shuningdek, kredit bo‘yicha ijobiy qaror qabul qilingandan so‘ng, qarzdor Ipoteka Bankining Yunusobod filialida ikkilamchi hisob raqamini ochishi kutiladi, chunki asosiy hisob raqami hozirda boshqa muassasada yuritilmoqda. Ushbu shartlar kredit shartnomasini tuzish uchun huquqiy va operatsion tayyorgarlikni ta’minlash maqsadida bajarilishi lozim.</w:t>
      </w:r>
    </w:p>
    <w:p w14:paraId="01E6A66E" w14:textId="4B95F1CE" w:rsidR="004029DD" w:rsidRPr="002433D0" w:rsidRDefault="00DA2CEF" w:rsidP="004029DD">
      <w:pPr>
        <w:pStyle w:val="BodyTextIndent2"/>
        <w:numPr>
          <w:ilvl w:val="0"/>
          <w:numId w:val="50"/>
        </w:numPr>
        <w:rPr>
          <w:rFonts w:ascii="Calibri" w:hAnsi="Calibri" w:cstheme="minorHAnsi"/>
          <w:bCs/>
          <w:i/>
          <w:sz w:val="20"/>
          <w:szCs w:val="20"/>
        </w:rPr>
      </w:pPr>
      <w:r w:rsidRPr="002433D0">
        <w:rPr>
          <w:rFonts w:ascii="Calibri" w:hAnsi="Calibri" w:cstheme="minorHAnsi"/>
          <w:bCs/>
          <w:i/>
          <w:sz w:val="20"/>
          <w:szCs w:val="20"/>
        </w:rPr>
        <w:t>Kredit mablag‘larini ajratishdan oldin quyidagi oldindan bajarilishi lozim bo‘lgan shartlar bajarilishi kerak. Qarzdorning ichki mijoz reytingi kamida 3-sinf bo‘lishi lozim, hozirgi baholash esa 1-sinf reytingini tasdiqlaydi, bu esa kredit siyosati talablariga to‘liq mos keladi. Sanoat xavfi tasnifi Yashil, Sariq yoki To‘q sariq toifalariga kirishi kerak; hozirgi holat Sariq bo‘lib, belgilangan mezonlarga javob beradi. Bundan tashqari, ta’minot qoplamasi kamida 120% bo‘lishi shart, bu esa MChJ 'CONGLOMATARE PRODUCTS'ga tegishli ko‘chmas mulk bilan ta’minlanadi.</w:t>
      </w:r>
    </w:p>
    <w:p>
      <w:r>
        <w:t>Qarz oluvchi kredit qo‘mitasining ijobiy qaroridan so‘ng, Ipoteka Bankining Yunusobod filialida ikkilamchi hisob raqamini ochishi talab etiladi, chunki asosiy hisob raqami hozirda boshqa bankda yuritilmoqda. Ushbu kredit liniyasi uchun tasdiqlangan foiz stavkasi yillik 10%ni tashkil etadi, bu 25.11.2025 sanasidagi rasmiy xat bilan tasdiqlangan. Ushbu shartlar bankning xavfini mablag‘lar ajratilishidan oldin yetarli darajada kamaytirishini ta’minlaydi.</w:t>
      </w:r>
    </w:p>
    <w:p w14:paraId="3A58136D" w14:textId="1E258D46" w:rsidR="00DA2CEF" w:rsidRPr="002433D0" w:rsidRDefault="007B56FC" w:rsidP="004029DD">
      <w:pPr>
        <w:pStyle w:val="BodyTextIndent2"/>
        <w:numPr>
          <w:ilvl w:val="0"/>
          <w:numId w:val="50"/>
        </w:numPr>
        <w:rPr>
          <w:rFonts w:ascii="Calibri" w:hAnsi="Calibri" w:cstheme="minorHAnsi"/>
          <w:bCs/>
          <w:i/>
          <w:sz w:val="20"/>
          <w:szCs w:val="20"/>
        </w:rPr>
      </w:pPr>
      <w:r w:rsidRPr="002433D0">
        <w:rPr>
          <w:rFonts w:ascii="Calibri" w:hAnsi="Calibri" w:cstheme="minorHAnsi"/>
          <w:bCs/>
          <w:i/>
          <w:sz w:val="20"/>
          <w:szCs w:val="20"/>
        </w:rPr>
        <w:t>Kredit muddati davomida qarz oluvchi bankning kredit siyosatiga muvofiq ehtiyotkorlik bilan risklarni boshqarish va rioya qilishni ta’minlash uchun bir qator doimiy shartlar va kovenantlarga bo‘ysunadi. Ta’minot qoplama koeffitsienti kamida 120% darajasida belgilangan va ushbu talab kredit muddati davomida saqlanishi lozim. Qarz oluvchining ichki kredit reytingi 3-sinf yoki undan yuqori bo‘lishi kerak; hozirda qarz oluvchi 1-sinf reytingiga ega bo‘lib, bu siyosat standartlariga to‘liq mos keladi. Sanoat risk tasnifi sariq bo‘lib, bu bank ko‘rsatmalariga muvofiq qabul qilinadigan diapazonda hisoblanadi.</w:t>
      </w:r>
      <w:r w:rsidR="00C62191" w:rsidRPr="002433D0">
        <w:rPr>
          <w:rFonts w:ascii="Calibri" w:hAnsi="Calibri" w:cstheme="minorHAnsi"/>
          <w:bCs/>
          <w:i/>
          <w:sz w:val="20"/>
          <w:szCs w:val="20"/>
        </w:rPr>
      </w:r>
    </w:p>
    <w:p>
      <w:r>
        <w:t>Doimiy monitoring doirasida qarz oluvchining moliyaviy holati, jumladan, likvidlik va aylanma kapital ko‘rsatkichlari muntazam ko‘rib chiqiladi, bu esa kredit muddati uchun taqdim etilgan batafsil moliyaviy koeffitsientlar orqali tasdiqlanadi. Qarz oluvchidan faol hisob aylanmasini saqlab turish ham talab qilinadi, 2024 va 2025 yillar uchun o‘rtacha oylik aylanmalar prognozlari aniq belgilangan. Pul yuvishga qarshi kurashish (AML) talablariga rioya etilishi monitoring qilinadi, hozirda qarz oluvchi bu borada past risk sifatida baholanmoqda. Bank standart nazorat tartibotlari doirasida har qanday restrukturizatsiya, to‘lov kechikishlari yoki siyosatga rioya qilmaslik holatlarini kuzatishda davom etadi.</w:t>
      </w:r>
    </w:p>
    <w:p>
      <w:r>
        <w:t>Hisobot talablari doimiy moliyaviy monitoring va belgilangan moliyaviy kovenantlarga rioya qilish zarurati orqali nazarda tutilgan. Qarz oluvchining ushbu kovenantlarga nisbatan ko‘rsatkichlari davriy ravishda ko‘rib chiqiladi, bu esa doimiy muvofiqlik va risklarni kamaytirishni ta’minlaydi.</w:t>
      </w:r>
    </w:p>
    <w:p w14:paraId="71FB202E" w14:textId="77777777" w:rsidR="006C4F13" w:rsidRDefault="006C4F13" w:rsidP="0089472A">
      <w:pPr>
        <w:pStyle w:val="BodyTextIndent2"/>
        <w:numPr>
          <w:ilvl w:val="0"/>
          <w:numId w:val="0"/>
        </w:numPr>
        <w:rPr>
          <w:rFonts w:ascii="Calibri" w:hAnsi="Calibri" w:cstheme="minorHAnsi"/>
          <w:bCs/>
          <w:i/>
          <w:sz w:val="20"/>
          <w:szCs w:val="20"/>
        </w:rPr>
      </w:pPr>
    </w:p>
    <w:p w14:paraId="7782DDD1" w14:textId="77777777" w:rsidR="006C4F13" w:rsidRPr="006C4F13" w:rsidRDefault="006C4F13" w:rsidP="006C4F13">
      <w:pPr>
        <w:spacing w:after="0" w:line="240" w:lineRule="auto"/>
        <w:jc w:val="both"/>
        <w:rPr>
          <w:rFonts w:ascii="Arial" w:hAnsi="Arial" w:cs="Arial"/>
          <w:b/>
          <w:color w:val="FF0000"/>
          <w:sz w:val="24"/>
          <w:szCs w:val="24"/>
          <w:lang w:val="uz-Latn-UZ"/>
        </w:rPr>
      </w:pPr>
      <w:r w:rsidRPr="006C4F13">
        <w:rPr>
          <w:rFonts w:ascii="Arial" w:hAnsi="Arial" w:cs="Arial"/>
          <w:i/>
          <w:iCs/>
          <w:color w:val="FF0000"/>
          <w:u w:val="single"/>
          <w:lang w:val="uz-Latn-UZ"/>
        </w:rPr>
        <w:t>Eslatma: har bir loyiha boʻyicha uning hamma jihatlarini eʼtiborga olgan holda ushbu Risk opinion/xulosa  namunasiga hohlaganicha oʻzgartirish va qoʻshimchalar kiritilishi mumkin, ushbu Risk opinion/xulosa namunasini mulkchilik shaklidan qatʼiy nazar barcha xoʻjalik subyektlari va xususiy tadbirkorlar uchun qoʻllash mumkin.</w:t>
      </w:r>
    </w:p>
    <w:p w14:paraId="264AE201" w14:textId="77777777" w:rsidR="006C4F13" w:rsidRPr="006C4F13" w:rsidRDefault="006C4F13" w:rsidP="0089472A">
      <w:pPr>
        <w:pStyle w:val="BodyTextIndent2"/>
        <w:numPr>
          <w:ilvl w:val="0"/>
          <w:numId w:val="0"/>
        </w:numPr>
        <w:rPr>
          <w:rFonts w:ascii="Calibri" w:hAnsi="Calibri" w:cstheme="minorHAnsi"/>
          <w:bCs/>
          <w:i/>
          <w:sz w:val="20"/>
          <w:szCs w:val="20"/>
          <w:lang w:val="uz-Latn-UZ"/>
        </w:rPr>
      </w:pPr>
    </w:p>
    <w:sectPr w:rsidR="006C4F13" w:rsidRPr="006C4F13" w:rsidSect="00C2509A">
      <w:headerReference w:type="default" r:id="rId9"/>
      <w:footerReference w:type="default" r:id="rId10"/>
      <w:pgSz w:w="15840" w:h="12240" w:orient="landscape"/>
      <w:pgMar w:top="851" w:right="1417" w:bottom="851" w:left="1418" w:header="426"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B8A80" w14:textId="77777777" w:rsidR="0068188A" w:rsidRDefault="0068188A" w:rsidP="00DF3C97">
      <w:pPr>
        <w:spacing w:after="0" w:line="240" w:lineRule="auto"/>
      </w:pPr>
      <w:r>
        <w:separator/>
      </w:r>
    </w:p>
  </w:endnote>
  <w:endnote w:type="continuationSeparator" w:id="0">
    <w:p w14:paraId="3267D09B" w14:textId="77777777" w:rsidR="0068188A" w:rsidRDefault="0068188A" w:rsidP="00DF3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012802"/>
      <w:docPartObj>
        <w:docPartGallery w:val="Page Numbers (Bottom of Page)"/>
        <w:docPartUnique/>
      </w:docPartObj>
    </w:sdtPr>
    <w:sdtContent>
      <w:sdt>
        <w:sdtPr>
          <w:id w:val="860082579"/>
          <w:docPartObj>
            <w:docPartGallery w:val="Page Numbers (Top of Page)"/>
            <w:docPartUnique/>
          </w:docPartObj>
        </w:sdtPr>
        <w:sdtContent>
          <w:bookmarkStart w:id="1" w:name="_Hlk163911082" w:displacedByCustomXml="prev"/>
          <w:p w14:paraId="17A86EEC" w14:textId="3C1F7BE8" w:rsidR="006A6901" w:rsidRDefault="00327A9D" w:rsidP="0041280E">
            <w:pPr>
              <w:pStyle w:val="Footer"/>
              <w:ind w:left="-284"/>
            </w:pPr>
            <w:r>
              <w:t>Currency Units: TUSD/TEUR/MUZS USD/UZS=</w:t>
            </w:r>
            <w:r w:rsidR="00120FB1">
              <w:t>XX</w:t>
            </w:r>
            <w:r>
              <w:t>,</w:t>
            </w:r>
            <w:r w:rsidR="00120FB1">
              <w:t>XXX</w:t>
            </w:r>
            <w:r>
              <w:t>.</w:t>
            </w:r>
            <w:r w:rsidR="00120FB1">
              <w:t>XX</w:t>
            </w:r>
            <w:r>
              <w:t xml:space="preserve"> EUR/UZS=</w:t>
            </w:r>
            <w:r w:rsidR="00120FB1">
              <w:t>XX</w:t>
            </w:r>
            <w:r>
              <w:t>,</w:t>
            </w:r>
            <w:r w:rsidR="00120FB1">
              <w:t>XXX</w:t>
            </w:r>
            <w:r>
              <w:t>.</w:t>
            </w:r>
            <w:r w:rsidR="00120FB1">
              <w:t>XX</w:t>
            </w:r>
            <w:r>
              <w:t xml:space="preserve"> </w:t>
            </w:r>
            <w:bookmarkEnd w:id="1"/>
            <w:r>
              <w:t xml:space="preserve">as of </w:t>
            </w:r>
            <w:r w:rsidR="004F3793">
              <w:t>XX</w:t>
            </w:r>
            <w:r>
              <w:t>.</w:t>
            </w:r>
            <w:r w:rsidR="004F3793">
              <w:t>XX</w:t>
            </w:r>
            <w:r>
              <w:t>.</w:t>
            </w:r>
            <w:r w:rsidR="004F3793">
              <w:t>XXXX</w:t>
            </w:r>
            <w:r w:rsidR="0041280E">
              <w:t xml:space="preserve"> </w:t>
            </w:r>
            <w:sdt>
              <w:sdtPr>
                <w:id w:val="861169971"/>
                <w:docPartObj>
                  <w:docPartGallery w:val="Page Numbers (Bottom of Page)"/>
                  <w:docPartUnique/>
                </w:docPartObj>
              </w:sdtPr>
              <w:sdtContent>
                <w:sdt>
                  <w:sdtPr>
                    <w:id w:val="-304778285"/>
                    <w:docPartObj>
                      <w:docPartGallery w:val="Page Numbers (Top of Page)"/>
                      <w:docPartUnique/>
                    </w:docPartObj>
                  </w:sdtPr>
                  <w:sdtContent>
                    <w:r w:rsidR="0041280E">
                      <w:tab/>
                      <w:t xml:space="preserve">Page </w:t>
                    </w:r>
                    <w:r w:rsidR="0041280E">
                      <w:rPr>
                        <w:b/>
                        <w:bCs/>
                        <w:sz w:val="24"/>
                        <w:szCs w:val="24"/>
                      </w:rPr>
                      <w:fldChar w:fldCharType="begin"/>
                    </w:r>
                    <w:r w:rsidR="0041280E">
                      <w:rPr>
                        <w:b/>
                        <w:bCs/>
                      </w:rPr>
                      <w:instrText xml:space="preserve"> PAGE </w:instrText>
                    </w:r>
                    <w:r w:rsidR="0041280E">
                      <w:rPr>
                        <w:b/>
                        <w:bCs/>
                        <w:sz w:val="24"/>
                        <w:szCs w:val="24"/>
                      </w:rPr>
                      <w:fldChar w:fldCharType="separate"/>
                    </w:r>
                    <w:r w:rsidR="0041280E">
                      <w:rPr>
                        <w:b/>
                        <w:bCs/>
                      </w:rPr>
                      <w:t>2</w:t>
                    </w:r>
                    <w:r w:rsidR="0041280E">
                      <w:rPr>
                        <w:b/>
                        <w:bCs/>
                        <w:sz w:val="24"/>
                        <w:szCs w:val="24"/>
                      </w:rPr>
                      <w:fldChar w:fldCharType="end"/>
                    </w:r>
                    <w:r w:rsidR="0041280E">
                      <w:t xml:space="preserve"> of </w:t>
                    </w:r>
                    <w:r w:rsidR="0041280E">
                      <w:rPr>
                        <w:b/>
                        <w:bCs/>
                        <w:sz w:val="24"/>
                        <w:szCs w:val="24"/>
                      </w:rPr>
                      <w:fldChar w:fldCharType="begin"/>
                    </w:r>
                    <w:r w:rsidR="0041280E">
                      <w:rPr>
                        <w:b/>
                        <w:bCs/>
                      </w:rPr>
                      <w:instrText xml:space="preserve"> NUMPAGES  </w:instrText>
                    </w:r>
                    <w:r w:rsidR="0041280E">
                      <w:rPr>
                        <w:b/>
                        <w:bCs/>
                        <w:sz w:val="24"/>
                        <w:szCs w:val="24"/>
                      </w:rPr>
                      <w:fldChar w:fldCharType="separate"/>
                    </w:r>
                    <w:r w:rsidR="0041280E">
                      <w:rPr>
                        <w:b/>
                        <w:bCs/>
                      </w:rPr>
                      <w:t>4</w:t>
                    </w:r>
                    <w:r w:rsidR="0041280E">
                      <w:rPr>
                        <w:b/>
                        <w:bCs/>
                        <w:sz w:val="24"/>
                        <w:szCs w:val="24"/>
                      </w:rPr>
                      <w:fldChar w:fldCharType="end"/>
                    </w:r>
                  </w:sdtContent>
                </w:sdt>
              </w:sdtContent>
            </w:sdt>
          </w:p>
        </w:sdtContent>
      </w:sdt>
    </w:sdtContent>
  </w:sdt>
  <w:p w14:paraId="33B40EDB" w14:textId="77777777" w:rsidR="006A6901" w:rsidRDefault="006A6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422F6" w14:textId="77777777" w:rsidR="0068188A" w:rsidRDefault="0068188A" w:rsidP="00DF3C97">
      <w:pPr>
        <w:spacing w:after="0" w:line="240" w:lineRule="auto"/>
      </w:pPr>
      <w:r>
        <w:separator/>
      </w:r>
    </w:p>
  </w:footnote>
  <w:footnote w:type="continuationSeparator" w:id="0">
    <w:p w14:paraId="657CA103" w14:textId="77777777" w:rsidR="0068188A" w:rsidRDefault="0068188A" w:rsidP="00DF3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3B73" w14:textId="77777777" w:rsidR="006A6901" w:rsidRPr="00D14504" w:rsidRDefault="006A6901" w:rsidP="00DF3C97">
    <w:pPr>
      <w:pStyle w:val="Header"/>
      <w:jc w:val="right"/>
      <w:rPr>
        <w:rFonts w:cstheme="minorHAnsi"/>
        <w:b/>
        <w:sz w:val="28"/>
        <w:szCs w:val="28"/>
      </w:rPr>
    </w:pPr>
    <w:r w:rsidRPr="00D14504">
      <w:rPr>
        <w:rFonts w:cstheme="minorHAnsi"/>
        <w:b/>
        <w:sz w:val="28"/>
        <w:szCs w:val="28"/>
      </w:rPr>
      <w:t>Confidential</w:t>
    </w:r>
  </w:p>
  <w:p w14:paraId="5733716F" w14:textId="77777777" w:rsidR="006A6901" w:rsidRDefault="006A6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25EB"/>
    <w:multiLevelType w:val="hybridMultilevel"/>
    <w:tmpl w:val="2E8E5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A3895"/>
    <w:multiLevelType w:val="hybridMultilevel"/>
    <w:tmpl w:val="C7F4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B5174"/>
    <w:multiLevelType w:val="hybridMultilevel"/>
    <w:tmpl w:val="8B6C30F0"/>
    <w:lvl w:ilvl="0" w:tplc="DF125970">
      <w:start w:val="1"/>
      <w:numFmt w:val="upperRoman"/>
      <w:lvlText w:val="%1."/>
      <w:lvlJc w:val="left"/>
      <w:pPr>
        <w:tabs>
          <w:tab w:val="num" w:pos="1080"/>
        </w:tabs>
        <w:ind w:left="1080" w:hanging="720"/>
      </w:pPr>
      <w:rPr>
        <w:rFonts w:hint="default"/>
      </w:rPr>
    </w:lvl>
    <w:lvl w:ilvl="1" w:tplc="C9D6D14C">
      <w:start w:val="4"/>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13B6656B"/>
    <w:multiLevelType w:val="hybridMultilevel"/>
    <w:tmpl w:val="9078F22C"/>
    <w:lvl w:ilvl="0" w:tplc="2C6C71EC">
      <w:start w:val="1"/>
      <w:numFmt w:val="decimal"/>
      <w:lvlText w:val="%1)"/>
      <w:lvlJc w:val="left"/>
      <w:pPr>
        <w:ind w:left="1080" w:hanging="360"/>
      </w:pPr>
      <w:rPr>
        <w:rFonts w:ascii="Book Antiqua" w:eastAsia="MS Mincho" w:hAnsi="Book Antiqua"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2E57B9"/>
    <w:multiLevelType w:val="hybridMultilevel"/>
    <w:tmpl w:val="AE880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927F7"/>
    <w:multiLevelType w:val="hybridMultilevel"/>
    <w:tmpl w:val="DE10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D2521"/>
    <w:multiLevelType w:val="hybridMultilevel"/>
    <w:tmpl w:val="1744D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53DD4"/>
    <w:multiLevelType w:val="hybridMultilevel"/>
    <w:tmpl w:val="3F2AB2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26A7B83"/>
    <w:multiLevelType w:val="hybridMultilevel"/>
    <w:tmpl w:val="464E888E"/>
    <w:lvl w:ilvl="0" w:tplc="FFFFFFFF">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077475"/>
    <w:multiLevelType w:val="hybridMultilevel"/>
    <w:tmpl w:val="E88E3EE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3176C35"/>
    <w:multiLevelType w:val="hybridMultilevel"/>
    <w:tmpl w:val="EF0884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B622AA"/>
    <w:multiLevelType w:val="hybridMultilevel"/>
    <w:tmpl w:val="DF02F05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79758D"/>
    <w:multiLevelType w:val="hybridMultilevel"/>
    <w:tmpl w:val="05E09E72"/>
    <w:lvl w:ilvl="0" w:tplc="9566D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870917"/>
    <w:multiLevelType w:val="hybridMultilevel"/>
    <w:tmpl w:val="E5B4BE8C"/>
    <w:lvl w:ilvl="0" w:tplc="BA00085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25205E"/>
    <w:multiLevelType w:val="hybridMultilevel"/>
    <w:tmpl w:val="3D16F756"/>
    <w:lvl w:ilvl="0" w:tplc="5F34D1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00601"/>
    <w:multiLevelType w:val="hybridMultilevel"/>
    <w:tmpl w:val="100022F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A5468B"/>
    <w:multiLevelType w:val="hybridMultilevel"/>
    <w:tmpl w:val="CDB0855C"/>
    <w:lvl w:ilvl="0" w:tplc="0F06D58A">
      <w:start w:val="3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2867089"/>
    <w:multiLevelType w:val="hybridMultilevel"/>
    <w:tmpl w:val="653AD43C"/>
    <w:lvl w:ilvl="0" w:tplc="86B67E6C">
      <w:numFmt w:val="bullet"/>
      <w:lvlText w:val="-"/>
      <w:lvlJc w:val="left"/>
      <w:pPr>
        <w:ind w:left="720" w:hanging="360"/>
      </w:pPr>
      <w:rPr>
        <w:rFonts w:ascii="Calibri" w:eastAsia="MS Mincho"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835D4"/>
    <w:multiLevelType w:val="hybridMultilevel"/>
    <w:tmpl w:val="8F52D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3B285E"/>
    <w:multiLevelType w:val="multilevel"/>
    <w:tmpl w:val="FBB4DF4C"/>
    <w:lvl w:ilvl="0">
      <w:start w:val="1"/>
      <w:numFmt w:val="decimal"/>
      <w:lvlText w:val="%1."/>
      <w:lvlJc w:val="left"/>
      <w:pPr>
        <w:ind w:left="720" w:hanging="360"/>
      </w:pPr>
      <w:rPr>
        <w:rFonts w:ascii="Times New Roman" w:hAnsi="Times New Roman" w:cs="Times New Roman" w:hint="default"/>
        <w:b/>
        <w:sz w:val="28"/>
        <w:szCs w:val="28"/>
      </w:rPr>
    </w:lvl>
    <w:lvl w:ilvl="1">
      <w:start w:val="1"/>
      <w:numFmt w:val="decimal"/>
      <w:isLgl/>
      <w:lvlText w:val="%1.%2."/>
      <w:lvlJc w:val="left"/>
      <w:pPr>
        <w:ind w:left="5322"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3389569F"/>
    <w:multiLevelType w:val="hybridMultilevel"/>
    <w:tmpl w:val="95AC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8D5651"/>
    <w:multiLevelType w:val="hybridMultilevel"/>
    <w:tmpl w:val="302C5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332C24"/>
    <w:multiLevelType w:val="hybridMultilevel"/>
    <w:tmpl w:val="7D38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205894"/>
    <w:multiLevelType w:val="hybridMultilevel"/>
    <w:tmpl w:val="897E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2B1736"/>
    <w:multiLevelType w:val="hybridMultilevel"/>
    <w:tmpl w:val="1206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864043"/>
    <w:multiLevelType w:val="hybridMultilevel"/>
    <w:tmpl w:val="67A6A166"/>
    <w:lvl w:ilvl="0" w:tplc="0409000F">
      <w:start w:val="1"/>
      <w:numFmt w:val="decimal"/>
      <w:lvlText w:val="%1."/>
      <w:lvlJc w:val="left"/>
      <w:pPr>
        <w:ind w:left="360" w:hanging="360"/>
      </w:pPr>
    </w:lvl>
    <w:lvl w:ilvl="1" w:tplc="400679D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CCE6D93"/>
    <w:multiLevelType w:val="hybridMultilevel"/>
    <w:tmpl w:val="2808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EE351D"/>
    <w:multiLevelType w:val="hybridMultilevel"/>
    <w:tmpl w:val="8C88B3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31E149F"/>
    <w:multiLevelType w:val="hybridMultilevel"/>
    <w:tmpl w:val="A3F0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794C29"/>
    <w:multiLevelType w:val="hybridMultilevel"/>
    <w:tmpl w:val="984AFEA4"/>
    <w:lvl w:ilvl="0" w:tplc="1EE80A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3E6BB9"/>
    <w:multiLevelType w:val="hybridMultilevel"/>
    <w:tmpl w:val="D584BCA0"/>
    <w:lvl w:ilvl="0" w:tplc="E286BF68">
      <w:start w:val="1"/>
      <w:numFmt w:val="decimal"/>
      <w:lvlText w:val="%1."/>
      <w:lvlJc w:val="left"/>
      <w:pPr>
        <w:ind w:left="360" w:hanging="360"/>
      </w:pPr>
      <w:rPr>
        <w:rFonts w:hint="default"/>
      </w:rPr>
    </w:lvl>
    <w:lvl w:ilvl="1" w:tplc="400679D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BC34F30"/>
    <w:multiLevelType w:val="hybridMultilevel"/>
    <w:tmpl w:val="7778A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07605E"/>
    <w:multiLevelType w:val="hybridMultilevel"/>
    <w:tmpl w:val="87D6C7C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3" w15:restartNumberingAfterBreak="0">
    <w:nsid w:val="530A7828"/>
    <w:multiLevelType w:val="hybridMultilevel"/>
    <w:tmpl w:val="EC089EDC"/>
    <w:lvl w:ilvl="0" w:tplc="368E375A">
      <w:start w:val="3"/>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DD1E61"/>
    <w:multiLevelType w:val="hybridMultilevel"/>
    <w:tmpl w:val="610A2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CD623B"/>
    <w:multiLevelType w:val="hybridMultilevel"/>
    <w:tmpl w:val="5EF67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FF5F6F"/>
    <w:multiLevelType w:val="hybridMultilevel"/>
    <w:tmpl w:val="C298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323971"/>
    <w:multiLevelType w:val="hybridMultilevel"/>
    <w:tmpl w:val="C21EAD3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618735CD"/>
    <w:multiLevelType w:val="hybridMultilevel"/>
    <w:tmpl w:val="F202B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1DF70B6"/>
    <w:multiLevelType w:val="hybridMultilevel"/>
    <w:tmpl w:val="75FC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2065B9"/>
    <w:multiLevelType w:val="hybridMultilevel"/>
    <w:tmpl w:val="7B24A866"/>
    <w:lvl w:ilvl="0" w:tplc="9566D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CF3E57"/>
    <w:multiLevelType w:val="hybridMultilevel"/>
    <w:tmpl w:val="B0D8E77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15:restartNumberingAfterBreak="0">
    <w:nsid w:val="76450BF5"/>
    <w:multiLevelType w:val="hybridMultilevel"/>
    <w:tmpl w:val="DA48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077D68"/>
    <w:multiLevelType w:val="hybridMultilevel"/>
    <w:tmpl w:val="B11625D2"/>
    <w:lvl w:ilvl="0" w:tplc="516CF3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AD46D0"/>
    <w:multiLevelType w:val="hybridMultilevel"/>
    <w:tmpl w:val="1104387A"/>
    <w:lvl w:ilvl="0" w:tplc="9F38CD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59139E"/>
    <w:multiLevelType w:val="hybridMultilevel"/>
    <w:tmpl w:val="D8FE2554"/>
    <w:lvl w:ilvl="0" w:tplc="217CF8E4">
      <w:start w:val="3"/>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6111E0"/>
    <w:multiLevelType w:val="hybridMultilevel"/>
    <w:tmpl w:val="C0DA0CCA"/>
    <w:lvl w:ilvl="0" w:tplc="9566DA1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ED466A7"/>
    <w:multiLevelType w:val="hybridMultilevel"/>
    <w:tmpl w:val="C806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68886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0338881">
    <w:abstractNumId w:val="13"/>
  </w:num>
  <w:num w:numId="3" w16cid:durableId="1877430703">
    <w:abstractNumId w:val="19"/>
  </w:num>
  <w:num w:numId="4" w16cid:durableId="1984312399">
    <w:abstractNumId w:val="2"/>
  </w:num>
  <w:num w:numId="5" w16cid:durableId="735515291">
    <w:abstractNumId w:val="9"/>
  </w:num>
  <w:num w:numId="6" w16cid:durableId="575869091">
    <w:abstractNumId w:val="20"/>
  </w:num>
  <w:num w:numId="7" w16cid:durableId="528956794">
    <w:abstractNumId w:val="5"/>
  </w:num>
  <w:num w:numId="8" w16cid:durableId="1267034147">
    <w:abstractNumId w:val="47"/>
  </w:num>
  <w:num w:numId="9" w16cid:durableId="1541821855">
    <w:abstractNumId w:val="37"/>
  </w:num>
  <w:num w:numId="10" w16cid:durableId="327370014">
    <w:abstractNumId w:val="8"/>
  </w:num>
  <w:num w:numId="11" w16cid:durableId="1747260747">
    <w:abstractNumId w:val="26"/>
  </w:num>
  <w:num w:numId="12" w16cid:durableId="1833333537">
    <w:abstractNumId w:val="31"/>
  </w:num>
  <w:num w:numId="13" w16cid:durableId="2103184422">
    <w:abstractNumId w:val="32"/>
  </w:num>
  <w:num w:numId="14" w16cid:durableId="382753468">
    <w:abstractNumId w:val="18"/>
  </w:num>
  <w:num w:numId="15" w16cid:durableId="109206541">
    <w:abstractNumId w:val="7"/>
  </w:num>
  <w:num w:numId="16" w16cid:durableId="437993361">
    <w:abstractNumId w:val="36"/>
  </w:num>
  <w:num w:numId="17" w16cid:durableId="898514996">
    <w:abstractNumId w:val="10"/>
  </w:num>
  <w:num w:numId="18" w16cid:durableId="1337346240">
    <w:abstractNumId w:val="21"/>
  </w:num>
  <w:num w:numId="19" w16cid:durableId="585577741">
    <w:abstractNumId w:val="6"/>
  </w:num>
  <w:num w:numId="20" w16cid:durableId="1920291443">
    <w:abstractNumId w:val="27"/>
  </w:num>
  <w:num w:numId="21" w16cid:durableId="320743037">
    <w:abstractNumId w:val="11"/>
  </w:num>
  <w:num w:numId="22" w16cid:durableId="1655403386">
    <w:abstractNumId w:val="38"/>
  </w:num>
  <w:num w:numId="23" w16cid:durableId="1770542841">
    <w:abstractNumId w:val="3"/>
  </w:num>
  <w:num w:numId="24" w16cid:durableId="1520043293">
    <w:abstractNumId w:val="25"/>
  </w:num>
  <w:num w:numId="25" w16cid:durableId="692069536">
    <w:abstractNumId w:val="15"/>
  </w:num>
  <w:num w:numId="26" w16cid:durableId="542863642">
    <w:abstractNumId w:val="30"/>
  </w:num>
  <w:num w:numId="27" w16cid:durableId="1415937087">
    <w:abstractNumId w:val="46"/>
  </w:num>
  <w:num w:numId="28" w16cid:durableId="1053307672">
    <w:abstractNumId w:val="40"/>
  </w:num>
  <w:num w:numId="29" w16cid:durableId="640311503">
    <w:abstractNumId w:val="12"/>
  </w:num>
  <w:num w:numId="30" w16cid:durableId="1070689123">
    <w:abstractNumId w:val="29"/>
  </w:num>
  <w:num w:numId="31" w16cid:durableId="309478165">
    <w:abstractNumId w:val="14"/>
  </w:num>
  <w:num w:numId="32" w16cid:durableId="431433460">
    <w:abstractNumId w:val="44"/>
  </w:num>
  <w:num w:numId="33" w16cid:durableId="1569803568">
    <w:abstractNumId w:val="43"/>
  </w:num>
  <w:num w:numId="34" w16cid:durableId="700279368">
    <w:abstractNumId w:val="33"/>
  </w:num>
  <w:num w:numId="35" w16cid:durableId="2072607820">
    <w:abstractNumId w:val="45"/>
  </w:num>
  <w:num w:numId="36" w16cid:durableId="1945572488">
    <w:abstractNumId w:val="34"/>
  </w:num>
  <w:num w:numId="37" w16cid:durableId="1490974708">
    <w:abstractNumId w:val="4"/>
  </w:num>
  <w:num w:numId="38" w16cid:durableId="1856336447">
    <w:abstractNumId w:val="22"/>
  </w:num>
  <w:num w:numId="39" w16cid:durableId="1407606798">
    <w:abstractNumId w:val="24"/>
  </w:num>
  <w:num w:numId="40" w16cid:durableId="70004538">
    <w:abstractNumId w:val="42"/>
  </w:num>
  <w:num w:numId="41" w16cid:durableId="1369143775">
    <w:abstractNumId w:val="39"/>
  </w:num>
  <w:num w:numId="42" w16cid:durableId="1241907582">
    <w:abstractNumId w:val="16"/>
  </w:num>
  <w:num w:numId="43" w16cid:durableId="631440903">
    <w:abstractNumId w:val="1"/>
  </w:num>
  <w:num w:numId="44" w16cid:durableId="1425764467">
    <w:abstractNumId w:val="23"/>
  </w:num>
  <w:num w:numId="45" w16cid:durableId="1488133481">
    <w:abstractNumId w:val="41"/>
  </w:num>
  <w:num w:numId="46" w16cid:durableId="1077705561">
    <w:abstractNumId w:val="35"/>
  </w:num>
  <w:num w:numId="47" w16cid:durableId="1472793821">
    <w:abstractNumId w:val="17"/>
  </w:num>
  <w:num w:numId="48" w16cid:durableId="90471950">
    <w:abstractNumId w:val="28"/>
  </w:num>
  <w:num w:numId="49" w16cid:durableId="377045462">
    <w:abstractNumId w:val="41"/>
  </w:num>
  <w:num w:numId="50" w16cid:durableId="63610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DA"/>
    <w:rsid w:val="000022A1"/>
    <w:rsid w:val="00005742"/>
    <w:rsid w:val="00005DFC"/>
    <w:rsid w:val="00006203"/>
    <w:rsid w:val="000063C7"/>
    <w:rsid w:val="0001141E"/>
    <w:rsid w:val="000156CB"/>
    <w:rsid w:val="00015F8E"/>
    <w:rsid w:val="00020DFE"/>
    <w:rsid w:val="0002344D"/>
    <w:rsid w:val="00027F31"/>
    <w:rsid w:val="00030AEE"/>
    <w:rsid w:val="0003243F"/>
    <w:rsid w:val="00037B41"/>
    <w:rsid w:val="000431CF"/>
    <w:rsid w:val="00044FB7"/>
    <w:rsid w:val="00052483"/>
    <w:rsid w:val="000526DC"/>
    <w:rsid w:val="000527DB"/>
    <w:rsid w:val="0005671F"/>
    <w:rsid w:val="000602AD"/>
    <w:rsid w:val="00063457"/>
    <w:rsid w:val="00063D78"/>
    <w:rsid w:val="00067802"/>
    <w:rsid w:val="0007062A"/>
    <w:rsid w:val="000769A6"/>
    <w:rsid w:val="00080F82"/>
    <w:rsid w:val="00085453"/>
    <w:rsid w:val="000913C5"/>
    <w:rsid w:val="000968B7"/>
    <w:rsid w:val="000A5E7E"/>
    <w:rsid w:val="000A78CF"/>
    <w:rsid w:val="000B1DA4"/>
    <w:rsid w:val="000B4C59"/>
    <w:rsid w:val="000B5969"/>
    <w:rsid w:val="000B6F70"/>
    <w:rsid w:val="000C2F23"/>
    <w:rsid w:val="000D7EE8"/>
    <w:rsid w:val="000E16FF"/>
    <w:rsid w:val="000E1C48"/>
    <w:rsid w:val="000E786F"/>
    <w:rsid w:val="000E7CAE"/>
    <w:rsid w:val="000F17F2"/>
    <w:rsid w:val="000F245D"/>
    <w:rsid w:val="000F4ED8"/>
    <w:rsid w:val="001009E4"/>
    <w:rsid w:val="001054DD"/>
    <w:rsid w:val="001125C0"/>
    <w:rsid w:val="001139E6"/>
    <w:rsid w:val="00120FB1"/>
    <w:rsid w:val="001217EF"/>
    <w:rsid w:val="00124048"/>
    <w:rsid w:val="00126599"/>
    <w:rsid w:val="00127A3B"/>
    <w:rsid w:val="00137092"/>
    <w:rsid w:val="00140E9A"/>
    <w:rsid w:val="00143389"/>
    <w:rsid w:val="00144CB3"/>
    <w:rsid w:val="00147936"/>
    <w:rsid w:val="00147BEA"/>
    <w:rsid w:val="001537FA"/>
    <w:rsid w:val="00154434"/>
    <w:rsid w:val="00157AD5"/>
    <w:rsid w:val="0016697D"/>
    <w:rsid w:val="0016735E"/>
    <w:rsid w:val="0017257C"/>
    <w:rsid w:val="0017260C"/>
    <w:rsid w:val="0017330B"/>
    <w:rsid w:val="00173739"/>
    <w:rsid w:val="00173940"/>
    <w:rsid w:val="00177D7D"/>
    <w:rsid w:val="00184690"/>
    <w:rsid w:val="00187B12"/>
    <w:rsid w:val="001907E4"/>
    <w:rsid w:val="001A38FA"/>
    <w:rsid w:val="001A48D6"/>
    <w:rsid w:val="001A6E6F"/>
    <w:rsid w:val="001B18DF"/>
    <w:rsid w:val="001B2F0B"/>
    <w:rsid w:val="001B3F8F"/>
    <w:rsid w:val="001C2052"/>
    <w:rsid w:val="001C3E33"/>
    <w:rsid w:val="001C4F17"/>
    <w:rsid w:val="001C7868"/>
    <w:rsid w:val="001D2E9D"/>
    <w:rsid w:val="001D4482"/>
    <w:rsid w:val="001D5643"/>
    <w:rsid w:val="001D67C4"/>
    <w:rsid w:val="001E0268"/>
    <w:rsid w:val="001E2F45"/>
    <w:rsid w:val="001E4A87"/>
    <w:rsid w:val="001E6C35"/>
    <w:rsid w:val="001F21D8"/>
    <w:rsid w:val="001F21E3"/>
    <w:rsid w:val="001F63B7"/>
    <w:rsid w:val="001F6492"/>
    <w:rsid w:val="001F6A3D"/>
    <w:rsid w:val="001F7184"/>
    <w:rsid w:val="00201148"/>
    <w:rsid w:val="002045B1"/>
    <w:rsid w:val="00204C61"/>
    <w:rsid w:val="0021263F"/>
    <w:rsid w:val="00213ACE"/>
    <w:rsid w:val="00213F98"/>
    <w:rsid w:val="00215A92"/>
    <w:rsid w:val="00217B95"/>
    <w:rsid w:val="002318F5"/>
    <w:rsid w:val="00231C25"/>
    <w:rsid w:val="00232528"/>
    <w:rsid w:val="00232F5D"/>
    <w:rsid w:val="0023321A"/>
    <w:rsid w:val="00233DCD"/>
    <w:rsid w:val="00234515"/>
    <w:rsid w:val="002346C8"/>
    <w:rsid w:val="0024115A"/>
    <w:rsid w:val="00241413"/>
    <w:rsid w:val="002433D0"/>
    <w:rsid w:val="00246C1E"/>
    <w:rsid w:val="002544B0"/>
    <w:rsid w:val="00254BD1"/>
    <w:rsid w:val="00257206"/>
    <w:rsid w:val="00257606"/>
    <w:rsid w:val="00263258"/>
    <w:rsid w:val="002633DA"/>
    <w:rsid w:val="0026374E"/>
    <w:rsid w:val="00263CFC"/>
    <w:rsid w:val="00265101"/>
    <w:rsid w:val="00265C65"/>
    <w:rsid w:val="00270F27"/>
    <w:rsid w:val="00275396"/>
    <w:rsid w:val="002829B4"/>
    <w:rsid w:val="002919E5"/>
    <w:rsid w:val="00291FA4"/>
    <w:rsid w:val="00295445"/>
    <w:rsid w:val="002A68C1"/>
    <w:rsid w:val="002B0F86"/>
    <w:rsid w:val="002B3E1C"/>
    <w:rsid w:val="002B62EA"/>
    <w:rsid w:val="002C0CC7"/>
    <w:rsid w:val="002C1100"/>
    <w:rsid w:val="002C1383"/>
    <w:rsid w:val="002D3775"/>
    <w:rsid w:val="002D40C2"/>
    <w:rsid w:val="002D4BB2"/>
    <w:rsid w:val="002D698E"/>
    <w:rsid w:val="002D6FBC"/>
    <w:rsid w:val="002D7170"/>
    <w:rsid w:val="002D7694"/>
    <w:rsid w:val="002E2770"/>
    <w:rsid w:val="002E4CDB"/>
    <w:rsid w:val="002E5F22"/>
    <w:rsid w:val="002E7FEB"/>
    <w:rsid w:val="002F048D"/>
    <w:rsid w:val="002F1EA1"/>
    <w:rsid w:val="002F53FE"/>
    <w:rsid w:val="002F64A9"/>
    <w:rsid w:val="002F71B7"/>
    <w:rsid w:val="0030181F"/>
    <w:rsid w:val="0030795B"/>
    <w:rsid w:val="00307DBB"/>
    <w:rsid w:val="0031123B"/>
    <w:rsid w:val="003203EB"/>
    <w:rsid w:val="00323C99"/>
    <w:rsid w:val="003270F2"/>
    <w:rsid w:val="00327A9D"/>
    <w:rsid w:val="003306CC"/>
    <w:rsid w:val="00336302"/>
    <w:rsid w:val="00337CBD"/>
    <w:rsid w:val="0034248B"/>
    <w:rsid w:val="003455F6"/>
    <w:rsid w:val="00345AB9"/>
    <w:rsid w:val="0034613F"/>
    <w:rsid w:val="00347C0E"/>
    <w:rsid w:val="00350761"/>
    <w:rsid w:val="00351D64"/>
    <w:rsid w:val="00355D9A"/>
    <w:rsid w:val="00360820"/>
    <w:rsid w:val="00366418"/>
    <w:rsid w:val="00367871"/>
    <w:rsid w:val="00367DEA"/>
    <w:rsid w:val="00374F72"/>
    <w:rsid w:val="00375E44"/>
    <w:rsid w:val="00380101"/>
    <w:rsid w:val="00385BAB"/>
    <w:rsid w:val="0038651C"/>
    <w:rsid w:val="00387132"/>
    <w:rsid w:val="00387772"/>
    <w:rsid w:val="0039211F"/>
    <w:rsid w:val="00395F16"/>
    <w:rsid w:val="00396671"/>
    <w:rsid w:val="003A0260"/>
    <w:rsid w:val="003A5AF6"/>
    <w:rsid w:val="003A63AE"/>
    <w:rsid w:val="003A79D5"/>
    <w:rsid w:val="003B2431"/>
    <w:rsid w:val="003B37F9"/>
    <w:rsid w:val="003B699D"/>
    <w:rsid w:val="003B7C9D"/>
    <w:rsid w:val="003C002E"/>
    <w:rsid w:val="003C01E0"/>
    <w:rsid w:val="003C0B1B"/>
    <w:rsid w:val="003C7AE1"/>
    <w:rsid w:val="003D0EAB"/>
    <w:rsid w:val="003D29B6"/>
    <w:rsid w:val="003D487C"/>
    <w:rsid w:val="003E2D01"/>
    <w:rsid w:val="003E6853"/>
    <w:rsid w:val="003F07A1"/>
    <w:rsid w:val="003F2F65"/>
    <w:rsid w:val="003F5EC9"/>
    <w:rsid w:val="004029DD"/>
    <w:rsid w:val="00407168"/>
    <w:rsid w:val="00411398"/>
    <w:rsid w:val="004127A9"/>
    <w:rsid w:val="0041280E"/>
    <w:rsid w:val="00415694"/>
    <w:rsid w:val="00421154"/>
    <w:rsid w:val="00422075"/>
    <w:rsid w:val="00424480"/>
    <w:rsid w:val="004348A0"/>
    <w:rsid w:val="00441C69"/>
    <w:rsid w:val="00443135"/>
    <w:rsid w:val="00450B96"/>
    <w:rsid w:val="00454238"/>
    <w:rsid w:val="0046032B"/>
    <w:rsid w:val="0046523C"/>
    <w:rsid w:val="00467C39"/>
    <w:rsid w:val="004760E2"/>
    <w:rsid w:val="00484295"/>
    <w:rsid w:val="00492F5D"/>
    <w:rsid w:val="004933D7"/>
    <w:rsid w:val="004944E9"/>
    <w:rsid w:val="00496802"/>
    <w:rsid w:val="00497390"/>
    <w:rsid w:val="004A179F"/>
    <w:rsid w:val="004A1946"/>
    <w:rsid w:val="004A3FD1"/>
    <w:rsid w:val="004A3FDC"/>
    <w:rsid w:val="004A550E"/>
    <w:rsid w:val="004A585D"/>
    <w:rsid w:val="004B0169"/>
    <w:rsid w:val="004B2154"/>
    <w:rsid w:val="004C3A7E"/>
    <w:rsid w:val="004D0A4F"/>
    <w:rsid w:val="004D32BE"/>
    <w:rsid w:val="004D4F2A"/>
    <w:rsid w:val="004D57FE"/>
    <w:rsid w:val="004D5B63"/>
    <w:rsid w:val="004D6BD1"/>
    <w:rsid w:val="004E2D95"/>
    <w:rsid w:val="004E33FE"/>
    <w:rsid w:val="004E3F69"/>
    <w:rsid w:val="004E4A10"/>
    <w:rsid w:val="004F2FF6"/>
    <w:rsid w:val="004F3793"/>
    <w:rsid w:val="004F45C4"/>
    <w:rsid w:val="004F47CB"/>
    <w:rsid w:val="004F4A94"/>
    <w:rsid w:val="004F6272"/>
    <w:rsid w:val="00502724"/>
    <w:rsid w:val="0050457B"/>
    <w:rsid w:val="00506659"/>
    <w:rsid w:val="00506F8C"/>
    <w:rsid w:val="00507D01"/>
    <w:rsid w:val="00510D2F"/>
    <w:rsid w:val="005125A2"/>
    <w:rsid w:val="00527BDB"/>
    <w:rsid w:val="00534EC3"/>
    <w:rsid w:val="0053548F"/>
    <w:rsid w:val="005360BB"/>
    <w:rsid w:val="005405DD"/>
    <w:rsid w:val="00540B18"/>
    <w:rsid w:val="00541E4B"/>
    <w:rsid w:val="00543421"/>
    <w:rsid w:val="00544636"/>
    <w:rsid w:val="00555782"/>
    <w:rsid w:val="00557C65"/>
    <w:rsid w:val="0056245D"/>
    <w:rsid w:val="0057023A"/>
    <w:rsid w:val="00571F8C"/>
    <w:rsid w:val="0057418E"/>
    <w:rsid w:val="005743A5"/>
    <w:rsid w:val="00574AD0"/>
    <w:rsid w:val="00576387"/>
    <w:rsid w:val="0057793C"/>
    <w:rsid w:val="0058195E"/>
    <w:rsid w:val="00582B58"/>
    <w:rsid w:val="00585632"/>
    <w:rsid w:val="00587D92"/>
    <w:rsid w:val="005904A8"/>
    <w:rsid w:val="00590814"/>
    <w:rsid w:val="00590EB1"/>
    <w:rsid w:val="00593FD1"/>
    <w:rsid w:val="005A14B9"/>
    <w:rsid w:val="005B4AAC"/>
    <w:rsid w:val="005C3570"/>
    <w:rsid w:val="005C6DE0"/>
    <w:rsid w:val="005C7B10"/>
    <w:rsid w:val="005D3F38"/>
    <w:rsid w:val="005D4AA7"/>
    <w:rsid w:val="005E0570"/>
    <w:rsid w:val="005E5C34"/>
    <w:rsid w:val="005E624E"/>
    <w:rsid w:val="005F0466"/>
    <w:rsid w:val="005F3905"/>
    <w:rsid w:val="00601BA5"/>
    <w:rsid w:val="00602D3B"/>
    <w:rsid w:val="0060577B"/>
    <w:rsid w:val="006110B9"/>
    <w:rsid w:val="00611E94"/>
    <w:rsid w:val="00615047"/>
    <w:rsid w:val="00615A3E"/>
    <w:rsid w:val="0062073A"/>
    <w:rsid w:val="00621613"/>
    <w:rsid w:val="00621909"/>
    <w:rsid w:val="00627B4B"/>
    <w:rsid w:val="00634E65"/>
    <w:rsid w:val="006352D0"/>
    <w:rsid w:val="00636DBD"/>
    <w:rsid w:val="006370CA"/>
    <w:rsid w:val="00641169"/>
    <w:rsid w:val="00642F8B"/>
    <w:rsid w:val="00643CEB"/>
    <w:rsid w:val="00652558"/>
    <w:rsid w:val="00652DF0"/>
    <w:rsid w:val="00662860"/>
    <w:rsid w:val="00664DA4"/>
    <w:rsid w:val="006676AB"/>
    <w:rsid w:val="00670390"/>
    <w:rsid w:val="0067126E"/>
    <w:rsid w:val="006737D2"/>
    <w:rsid w:val="0067746A"/>
    <w:rsid w:val="00680D55"/>
    <w:rsid w:val="0068103E"/>
    <w:rsid w:val="00681647"/>
    <w:rsid w:val="0068188A"/>
    <w:rsid w:val="00683352"/>
    <w:rsid w:val="006907B3"/>
    <w:rsid w:val="00691D1E"/>
    <w:rsid w:val="00692B3E"/>
    <w:rsid w:val="0069328D"/>
    <w:rsid w:val="00695A51"/>
    <w:rsid w:val="006A6901"/>
    <w:rsid w:val="006A725D"/>
    <w:rsid w:val="006B037A"/>
    <w:rsid w:val="006B0E02"/>
    <w:rsid w:val="006B445F"/>
    <w:rsid w:val="006B5005"/>
    <w:rsid w:val="006B58B5"/>
    <w:rsid w:val="006B7651"/>
    <w:rsid w:val="006C22E9"/>
    <w:rsid w:val="006C4F13"/>
    <w:rsid w:val="006C5678"/>
    <w:rsid w:val="006D1988"/>
    <w:rsid w:val="006D2ACE"/>
    <w:rsid w:val="006D4729"/>
    <w:rsid w:val="006D7DC4"/>
    <w:rsid w:val="006E24D8"/>
    <w:rsid w:val="006E4759"/>
    <w:rsid w:val="006E76EE"/>
    <w:rsid w:val="006F03D4"/>
    <w:rsid w:val="006F2B0F"/>
    <w:rsid w:val="006F36EE"/>
    <w:rsid w:val="00701799"/>
    <w:rsid w:val="007026CC"/>
    <w:rsid w:val="007046D6"/>
    <w:rsid w:val="00705671"/>
    <w:rsid w:val="0070682F"/>
    <w:rsid w:val="007100FD"/>
    <w:rsid w:val="00712610"/>
    <w:rsid w:val="00713CAA"/>
    <w:rsid w:val="00714FEA"/>
    <w:rsid w:val="00715368"/>
    <w:rsid w:val="00717759"/>
    <w:rsid w:val="00722AC0"/>
    <w:rsid w:val="00725131"/>
    <w:rsid w:val="007277D1"/>
    <w:rsid w:val="007302D1"/>
    <w:rsid w:val="007316F4"/>
    <w:rsid w:val="00733218"/>
    <w:rsid w:val="00750703"/>
    <w:rsid w:val="00762D75"/>
    <w:rsid w:val="00775227"/>
    <w:rsid w:val="007861B0"/>
    <w:rsid w:val="00786C10"/>
    <w:rsid w:val="007870BB"/>
    <w:rsid w:val="00790DFE"/>
    <w:rsid w:val="0079467B"/>
    <w:rsid w:val="007967E7"/>
    <w:rsid w:val="007A02C4"/>
    <w:rsid w:val="007A20F8"/>
    <w:rsid w:val="007A2E48"/>
    <w:rsid w:val="007A5725"/>
    <w:rsid w:val="007A726A"/>
    <w:rsid w:val="007B00EA"/>
    <w:rsid w:val="007B01A9"/>
    <w:rsid w:val="007B56FC"/>
    <w:rsid w:val="007B60BF"/>
    <w:rsid w:val="007B6117"/>
    <w:rsid w:val="007B7876"/>
    <w:rsid w:val="007D02D7"/>
    <w:rsid w:val="007D569F"/>
    <w:rsid w:val="007D5F57"/>
    <w:rsid w:val="007D6F13"/>
    <w:rsid w:val="007E2435"/>
    <w:rsid w:val="007E38D8"/>
    <w:rsid w:val="007E4CD9"/>
    <w:rsid w:val="007E5CB3"/>
    <w:rsid w:val="007F03BD"/>
    <w:rsid w:val="007F0BC9"/>
    <w:rsid w:val="007F1334"/>
    <w:rsid w:val="007F2B50"/>
    <w:rsid w:val="007F4836"/>
    <w:rsid w:val="0080425A"/>
    <w:rsid w:val="00805173"/>
    <w:rsid w:val="0080581A"/>
    <w:rsid w:val="00810152"/>
    <w:rsid w:val="008118A4"/>
    <w:rsid w:val="00812955"/>
    <w:rsid w:val="00820839"/>
    <w:rsid w:val="00823455"/>
    <w:rsid w:val="008261A0"/>
    <w:rsid w:val="00826D96"/>
    <w:rsid w:val="00832E6B"/>
    <w:rsid w:val="00834619"/>
    <w:rsid w:val="0083567F"/>
    <w:rsid w:val="00835EEF"/>
    <w:rsid w:val="008373E4"/>
    <w:rsid w:val="00846409"/>
    <w:rsid w:val="00847E56"/>
    <w:rsid w:val="00851417"/>
    <w:rsid w:val="00852E8E"/>
    <w:rsid w:val="00860D21"/>
    <w:rsid w:val="008642E0"/>
    <w:rsid w:val="00866963"/>
    <w:rsid w:val="008731AA"/>
    <w:rsid w:val="00874A04"/>
    <w:rsid w:val="00876726"/>
    <w:rsid w:val="00880147"/>
    <w:rsid w:val="00883506"/>
    <w:rsid w:val="00893156"/>
    <w:rsid w:val="008931B4"/>
    <w:rsid w:val="0089418F"/>
    <w:rsid w:val="0089472A"/>
    <w:rsid w:val="008A12BD"/>
    <w:rsid w:val="008A2EF9"/>
    <w:rsid w:val="008A2F79"/>
    <w:rsid w:val="008A5468"/>
    <w:rsid w:val="008A732B"/>
    <w:rsid w:val="008A7E5D"/>
    <w:rsid w:val="008B09DB"/>
    <w:rsid w:val="008B34D8"/>
    <w:rsid w:val="008B37F5"/>
    <w:rsid w:val="008B5122"/>
    <w:rsid w:val="008B68F9"/>
    <w:rsid w:val="008C344C"/>
    <w:rsid w:val="008C3797"/>
    <w:rsid w:val="008C7753"/>
    <w:rsid w:val="008E2119"/>
    <w:rsid w:val="008E4A5C"/>
    <w:rsid w:val="008E5006"/>
    <w:rsid w:val="008E6E70"/>
    <w:rsid w:val="008E7F5C"/>
    <w:rsid w:val="008F061A"/>
    <w:rsid w:val="008F1A61"/>
    <w:rsid w:val="008F45BA"/>
    <w:rsid w:val="008F4D2E"/>
    <w:rsid w:val="008F71E0"/>
    <w:rsid w:val="008F7582"/>
    <w:rsid w:val="00903898"/>
    <w:rsid w:val="0090461D"/>
    <w:rsid w:val="00904A80"/>
    <w:rsid w:val="0090555F"/>
    <w:rsid w:val="009060AB"/>
    <w:rsid w:val="00907146"/>
    <w:rsid w:val="009104EF"/>
    <w:rsid w:val="00912F11"/>
    <w:rsid w:val="00914DDE"/>
    <w:rsid w:val="009169C3"/>
    <w:rsid w:val="00916DE2"/>
    <w:rsid w:val="009171C3"/>
    <w:rsid w:val="00920C6C"/>
    <w:rsid w:val="00920F21"/>
    <w:rsid w:val="009212A5"/>
    <w:rsid w:val="00924408"/>
    <w:rsid w:val="009258A9"/>
    <w:rsid w:val="00930819"/>
    <w:rsid w:val="00933729"/>
    <w:rsid w:val="0093401F"/>
    <w:rsid w:val="0094023E"/>
    <w:rsid w:val="00943AF3"/>
    <w:rsid w:val="00944403"/>
    <w:rsid w:val="00944F0E"/>
    <w:rsid w:val="00946C36"/>
    <w:rsid w:val="00951707"/>
    <w:rsid w:val="00953E58"/>
    <w:rsid w:val="00954E76"/>
    <w:rsid w:val="009602A3"/>
    <w:rsid w:val="00967199"/>
    <w:rsid w:val="00972D97"/>
    <w:rsid w:val="009733F9"/>
    <w:rsid w:val="00973EE1"/>
    <w:rsid w:val="00974DDD"/>
    <w:rsid w:val="00976EF0"/>
    <w:rsid w:val="00983E64"/>
    <w:rsid w:val="00984371"/>
    <w:rsid w:val="00984AA6"/>
    <w:rsid w:val="00996750"/>
    <w:rsid w:val="00996E2B"/>
    <w:rsid w:val="009A1DC1"/>
    <w:rsid w:val="009A35F2"/>
    <w:rsid w:val="009A3671"/>
    <w:rsid w:val="009A4554"/>
    <w:rsid w:val="009A5A4F"/>
    <w:rsid w:val="009A6444"/>
    <w:rsid w:val="009A6FAA"/>
    <w:rsid w:val="009A71AF"/>
    <w:rsid w:val="009B2B9D"/>
    <w:rsid w:val="009B5AA2"/>
    <w:rsid w:val="009C0D8A"/>
    <w:rsid w:val="009C1937"/>
    <w:rsid w:val="009C270B"/>
    <w:rsid w:val="009C2A93"/>
    <w:rsid w:val="009C3A43"/>
    <w:rsid w:val="009C4712"/>
    <w:rsid w:val="009D020B"/>
    <w:rsid w:val="009D12F7"/>
    <w:rsid w:val="009D30C1"/>
    <w:rsid w:val="009D47DA"/>
    <w:rsid w:val="009D55CA"/>
    <w:rsid w:val="009D6DB1"/>
    <w:rsid w:val="009E6943"/>
    <w:rsid w:val="009F247D"/>
    <w:rsid w:val="009F564A"/>
    <w:rsid w:val="00A042E0"/>
    <w:rsid w:val="00A05FD3"/>
    <w:rsid w:val="00A065B7"/>
    <w:rsid w:val="00A078AC"/>
    <w:rsid w:val="00A100CD"/>
    <w:rsid w:val="00A13965"/>
    <w:rsid w:val="00A13FC6"/>
    <w:rsid w:val="00A158E8"/>
    <w:rsid w:val="00A20239"/>
    <w:rsid w:val="00A209D4"/>
    <w:rsid w:val="00A24983"/>
    <w:rsid w:val="00A279B2"/>
    <w:rsid w:val="00A3051D"/>
    <w:rsid w:val="00A30AAF"/>
    <w:rsid w:val="00A31317"/>
    <w:rsid w:val="00A3412D"/>
    <w:rsid w:val="00A343C0"/>
    <w:rsid w:val="00A35001"/>
    <w:rsid w:val="00A407B7"/>
    <w:rsid w:val="00A44E3B"/>
    <w:rsid w:val="00A50245"/>
    <w:rsid w:val="00A519A7"/>
    <w:rsid w:val="00A52B92"/>
    <w:rsid w:val="00A52C64"/>
    <w:rsid w:val="00A53546"/>
    <w:rsid w:val="00A560A5"/>
    <w:rsid w:val="00A57FE5"/>
    <w:rsid w:val="00A6043A"/>
    <w:rsid w:val="00A63228"/>
    <w:rsid w:val="00A65CE3"/>
    <w:rsid w:val="00A66C63"/>
    <w:rsid w:val="00A72044"/>
    <w:rsid w:val="00A74264"/>
    <w:rsid w:val="00A75C92"/>
    <w:rsid w:val="00A76186"/>
    <w:rsid w:val="00A81671"/>
    <w:rsid w:val="00A82BEA"/>
    <w:rsid w:val="00A83563"/>
    <w:rsid w:val="00A86FF2"/>
    <w:rsid w:val="00A92CA2"/>
    <w:rsid w:val="00A94D85"/>
    <w:rsid w:val="00A96285"/>
    <w:rsid w:val="00A963E4"/>
    <w:rsid w:val="00A9666D"/>
    <w:rsid w:val="00A972CF"/>
    <w:rsid w:val="00AB006D"/>
    <w:rsid w:val="00AB04FA"/>
    <w:rsid w:val="00AB3C99"/>
    <w:rsid w:val="00AB5E84"/>
    <w:rsid w:val="00AC2624"/>
    <w:rsid w:val="00AC5A52"/>
    <w:rsid w:val="00AC79AE"/>
    <w:rsid w:val="00AD0F1E"/>
    <w:rsid w:val="00AD51D8"/>
    <w:rsid w:val="00AE2A10"/>
    <w:rsid w:val="00AE3C6A"/>
    <w:rsid w:val="00AE4048"/>
    <w:rsid w:val="00AF08C6"/>
    <w:rsid w:val="00AF30D6"/>
    <w:rsid w:val="00AF5482"/>
    <w:rsid w:val="00AF617C"/>
    <w:rsid w:val="00AF792A"/>
    <w:rsid w:val="00AF7C6D"/>
    <w:rsid w:val="00B0033E"/>
    <w:rsid w:val="00B04414"/>
    <w:rsid w:val="00B128BF"/>
    <w:rsid w:val="00B13D0E"/>
    <w:rsid w:val="00B1483C"/>
    <w:rsid w:val="00B168ED"/>
    <w:rsid w:val="00B16B8E"/>
    <w:rsid w:val="00B17979"/>
    <w:rsid w:val="00B2378A"/>
    <w:rsid w:val="00B250B4"/>
    <w:rsid w:val="00B25994"/>
    <w:rsid w:val="00B25D5F"/>
    <w:rsid w:val="00B31F54"/>
    <w:rsid w:val="00B34F49"/>
    <w:rsid w:val="00B425EC"/>
    <w:rsid w:val="00B52D2A"/>
    <w:rsid w:val="00B54D47"/>
    <w:rsid w:val="00B60CBC"/>
    <w:rsid w:val="00B60EB3"/>
    <w:rsid w:val="00B62150"/>
    <w:rsid w:val="00B628DD"/>
    <w:rsid w:val="00B725E4"/>
    <w:rsid w:val="00B72996"/>
    <w:rsid w:val="00B77E4D"/>
    <w:rsid w:val="00B9012A"/>
    <w:rsid w:val="00B968DB"/>
    <w:rsid w:val="00BA0677"/>
    <w:rsid w:val="00BA0ADE"/>
    <w:rsid w:val="00BA0FCC"/>
    <w:rsid w:val="00BA206E"/>
    <w:rsid w:val="00BA4C29"/>
    <w:rsid w:val="00BA6547"/>
    <w:rsid w:val="00BB1C38"/>
    <w:rsid w:val="00BB7D43"/>
    <w:rsid w:val="00BC08C0"/>
    <w:rsid w:val="00BC2A80"/>
    <w:rsid w:val="00BD258F"/>
    <w:rsid w:val="00BD4511"/>
    <w:rsid w:val="00BD4D8D"/>
    <w:rsid w:val="00BD5E8C"/>
    <w:rsid w:val="00BD76B2"/>
    <w:rsid w:val="00BE0F83"/>
    <w:rsid w:val="00BE1026"/>
    <w:rsid w:val="00BE1988"/>
    <w:rsid w:val="00BE41A1"/>
    <w:rsid w:val="00BE7BEE"/>
    <w:rsid w:val="00BF05AF"/>
    <w:rsid w:val="00BF0F13"/>
    <w:rsid w:val="00BF14F5"/>
    <w:rsid w:val="00BF6636"/>
    <w:rsid w:val="00C117A3"/>
    <w:rsid w:val="00C13440"/>
    <w:rsid w:val="00C14731"/>
    <w:rsid w:val="00C20DC7"/>
    <w:rsid w:val="00C213D4"/>
    <w:rsid w:val="00C2509A"/>
    <w:rsid w:val="00C26331"/>
    <w:rsid w:val="00C26745"/>
    <w:rsid w:val="00C2675A"/>
    <w:rsid w:val="00C26A3C"/>
    <w:rsid w:val="00C27306"/>
    <w:rsid w:val="00C3203A"/>
    <w:rsid w:val="00C34254"/>
    <w:rsid w:val="00C42A42"/>
    <w:rsid w:val="00C42B93"/>
    <w:rsid w:val="00C4520B"/>
    <w:rsid w:val="00C4612E"/>
    <w:rsid w:val="00C53BD8"/>
    <w:rsid w:val="00C54A2D"/>
    <w:rsid w:val="00C558D1"/>
    <w:rsid w:val="00C55BB1"/>
    <w:rsid w:val="00C56733"/>
    <w:rsid w:val="00C567ED"/>
    <w:rsid w:val="00C57AC8"/>
    <w:rsid w:val="00C62191"/>
    <w:rsid w:val="00C62451"/>
    <w:rsid w:val="00C62C3E"/>
    <w:rsid w:val="00C71BBD"/>
    <w:rsid w:val="00C7202A"/>
    <w:rsid w:val="00C75733"/>
    <w:rsid w:val="00C75E83"/>
    <w:rsid w:val="00C76167"/>
    <w:rsid w:val="00C76509"/>
    <w:rsid w:val="00C76AE0"/>
    <w:rsid w:val="00C77468"/>
    <w:rsid w:val="00C774BB"/>
    <w:rsid w:val="00C77C22"/>
    <w:rsid w:val="00C83EB8"/>
    <w:rsid w:val="00C93BBF"/>
    <w:rsid w:val="00CA0A16"/>
    <w:rsid w:val="00CA0F3B"/>
    <w:rsid w:val="00CA5ADA"/>
    <w:rsid w:val="00CB0946"/>
    <w:rsid w:val="00CB323B"/>
    <w:rsid w:val="00CB4383"/>
    <w:rsid w:val="00CB68F4"/>
    <w:rsid w:val="00CC0500"/>
    <w:rsid w:val="00CC0A80"/>
    <w:rsid w:val="00CC57F1"/>
    <w:rsid w:val="00CC735F"/>
    <w:rsid w:val="00CD3C0B"/>
    <w:rsid w:val="00CD444D"/>
    <w:rsid w:val="00CD45BB"/>
    <w:rsid w:val="00CE69AC"/>
    <w:rsid w:val="00CF344D"/>
    <w:rsid w:val="00CF7F45"/>
    <w:rsid w:val="00D014B0"/>
    <w:rsid w:val="00D03887"/>
    <w:rsid w:val="00D07E35"/>
    <w:rsid w:val="00D12BB1"/>
    <w:rsid w:val="00D168CC"/>
    <w:rsid w:val="00D20A4B"/>
    <w:rsid w:val="00D2269A"/>
    <w:rsid w:val="00D22C0F"/>
    <w:rsid w:val="00D2730B"/>
    <w:rsid w:val="00D35E8F"/>
    <w:rsid w:val="00D37698"/>
    <w:rsid w:val="00D40B69"/>
    <w:rsid w:val="00D41C38"/>
    <w:rsid w:val="00D4429D"/>
    <w:rsid w:val="00D44DD8"/>
    <w:rsid w:val="00D45F8D"/>
    <w:rsid w:val="00D467A1"/>
    <w:rsid w:val="00D5003E"/>
    <w:rsid w:val="00D50D69"/>
    <w:rsid w:val="00D547D6"/>
    <w:rsid w:val="00D55000"/>
    <w:rsid w:val="00D57A8C"/>
    <w:rsid w:val="00D623CF"/>
    <w:rsid w:val="00D64727"/>
    <w:rsid w:val="00D66CD6"/>
    <w:rsid w:val="00D67048"/>
    <w:rsid w:val="00D679A9"/>
    <w:rsid w:val="00D70111"/>
    <w:rsid w:val="00D710F5"/>
    <w:rsid w:val="00D740EF"/>
    <w:rsid w:val="00D749C3"/>
    <w:rsid w:val="00D7549F"/>
    <w:rsid w:val="00D75F38"/>
    <w:rsid w:val="00D80EFC"/>
    <w:rsid w:val="00D95236"/>
    <w:rsid w:val="00D953C1"/>
    <w:rsid w:val="00D9595E"/>
    <w:rsid w:val="00D96228"/>
    <w:rsid w:val="00D964DB"/>
    <w:rsid w:val="00D96DBE"/>
    <w:rsid w:val="00D976CE"/>
    <w:rsid w:val="00DA2CEF"/>
    <w:rsid w:val="00DA4116"/>
    <w:rsid w:val="00DA4462"/>
    <w:rsid w:val="00DA5D9A"/>
    <w:rsid w:val="00DA673F"/>
    <w:rsid w:val="00DA7132"/>
    <w:rsid w:val="00DB03BA"/>
    <w:rsid w:val="00DB3D2E"/>
    <w:rsid w:val="00DC0C62"/>
    <w:rsid w:val="00DC68DC"/>
    <w:rsid w:val="00DC70F1"/>
    <w:rsid w:val="00DD009D"/>
    <w:rsid w:val="00DD02E9"/>
    <w:rsid w:val="00DD08F2"/>
    <w:rsid w:val="00DD3019"/>
    <w:rsid w:val="00DD6C4F"/>
    <w:rsid w:val="00DE33E3"/>
    <w:rsid w:val="00DE4037"/>
    <w:rsid w:val="00DE4A8E"/>
    <w:rsid w:val="00DF19E9"/>
    <w:rsid w:val="00DF27AA"/>
    <w:rsid w:val="00DF27D6"/>
    <w:rsid w:val="00DF3C97"/>
    <w:rsid w:val="00DF787C"/>
    <w:rsid w:val="00E05A03"/>
    <w:rsid w:val="00E0632E"/>
    <w:rsid w:val="00E06457"/>
    <w:rsid w:val="00E0688E"/>
    <w:rsid w:val="00E24CA9"/>
    <w:rsid w:val="00E26042"/>
    <w:rsid w:val="00E336A3"/>
    <w:rsid w:val="00E34D95"/>
    <w:rsid w:val="00E35736"/>
    <w:rsid w:val="00E37531"/>
    <w:rsid w:val="00E42AFC"/>
    <w:rsid w:val="00E43712"/>
    <w:rsid w:val="00E439EC"/>
    <w:rsid w:val="00E44EE0"/>
    <w:rsid w:val="00E47E86"/>
    <w:rsid w:val="00E52936"/>
    <w:rsid w:val="00E529A9"/>
    <w:rsid w:val="00E5469E"/>
    <w:rsid w:val="00E57854"/>
    <w:rsid w:val="00E57A0C"/>
    <w:rsid w:val="00E57C28"/>
    <w:rsid w:val="00E63A6B"/>
    <w:rsid w:val="00E66D3E"/>
    <w:rsid w:val="00E66D67"/>
    <w:rsid w:val="00E66F47"/>
    <w:rsid w:val="00E77DEE"/>
    <w:rsid w:val="00E82995"/>
    <w:rsid w:val="00E83CDD"/>
    <w:rsid w:val="00E84856"/>
    <w:rsid w:val="00E8718A"/>
    <w:rsid w:val="00E91DC7"/>
    <w:rsid w:val="00E93323"/>
    <w:rsid w:val="00E93CCE"/>
    <w:rsid w:val="00EA0A37"/>
    <w:rsid w:val="00EA0CBA"/>
    <w:rsid w:val="00EA1E4B"/>
    <w:rsid w:val="00EA21F5"/>
    <w:rsid w:val="00EA7AFE"/>
    <w:rsid w:val="00EB55E2"/>
    <w:rsid w:val="00EB6A5D"/>
    <w:rsid w:val="00EB79F8"/>
    <w:rsid w:val="00EC3F79"/>
    <w:rsid w:val="00EC6F8D"/>
    <w:rsid w:val="00ED1C0F"/>
    <w:rsid w:val="00ED358A"/>
    <w:rsid w:val="00ED3D1F"/>
    <w:rsid w:val="00ED5EB5"/>
    <w:rsid w:val="00EE0F8F"/>
    <w:rsid w:val="00EE1446"/>
    <w:rsid w:val="00EE238A"/>
    <w:rsid w:val="00EE3EC9"/>
    <w:rsid w:val="00EE4808"/>
    <w:rsid w:val="00EF44FD"/>
    <w:rsid w:val="00EF584A"/>
    <w:rsid w:val="00F00245"/>
    <w:rsid w:val="00F02F3F"/>
    <w:rsid w:val="00F04ED6"/>
    <w:rsid w:val="00F07144"/>
    <w:rsid w:val="00F116A0"/>
    <w:rsid w:val="00F13157"/>
    <w:rsid w:val="00F132AD"/>
    <w:rsid w:val="00F17EE6"/>
    <w:rsid w:val="00F21F1E"/>
    <w:rsid w:val="00F25541"/>
    <w:rsid w:val="00F25F70"/>
    <w:rsid w:val="00F337E7"/>
    <w:rsid w:val="00F3549C"/>
    <w:rsid w:val="00F358BB"/>
    <w:rsid w:val="00F35AAB"/>
    <w:rsid w:val="00F36C73"/>
    <w:rsid w:val="00F50327"/>
    <w:rsid w:val="00F53F65"/>
    <w:rsid w:val="00F5759A"/>
    <w:rsid w:val="00F6014C"/>
    <w:rsid w:val="00F636DD"/>
    <w:rsid w:val="00F66D99"/>
    <w:rsid w:val="00F7043A"/>
    <w:rsid w:val="00F76B13"/>
    <w:rsid w:val="00F843F2"/>
    <w:rsid w:val="00F908DB"/>
    <w:rsid w:val="00F92487"/>
    <w:rsid w:val="00F9505F"/>
    <w:rsid w:val="00F9586F"/>
    <w:rsid w:val="00F966CD"/>
    <w:rsid w:val="00F96C26"/>
    <w:rsid w:val="00F96D6D"/>
    <w:rsid w:val="00F975E1"/>
    <w:rsid w:val="00F97D10"/>
    <w:rsid w:val="00FA093A"/>
    <w:rsid w:val="00FA415A"/>
    <w:rsid w:val="00FA55E1"/>
    <w:rsid w:val="00FB2BE3"/>
    <w:rsid w:val="00FB3177"/>
    <w:rsid w:val="00FB3919"/>
    <w:rsid w:val="00FC239A"/>
    <w:rsid w:val="00FC2580"/>
    <w:rsid w:val="00FC2A73"/>
    <w:rsid w:val="00FC2BB9"/>
    <w:rsid w:val="00FC3E5D"/>
    <w:rsid w:val="00FC444F"/>
    <w:rsid w:val="00FC4C75"/>
    <w:rsid w:val="00FD26BD"/>
    <w:rsid w:val="00FD323B"/>
    <w:rsid w:val="00FD469B"/>
    <w:rsid w:val="00FE35C0"/>
    <w:rsid w:val="00FE531E"/>
    <w:rsid w:val="00FF0F4B"/>
    <w:rsid w:val="00FF5F2E"/>
    <w:rsid w:val="00FF6FDC"/>
    <w:rsid w:val="00FF7A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96685"/>
  <w15:docId w15:val="{E7C24323-7900-49DB-AF6E-42C3AF3E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58A"/>
  </w:style>
  <w:style w:type="paragraph" w:styleId="Heading1">
    <w:name w:val="heading 1"/>
    <w:basedOn w:val="Normal"/>
    <w:next w:val="Normal"/>
    <w:link w:val="Heading1Char"/>
    <w:uiPriority w:val="9"/>
    <w:qFormat/>
    <w:rsid w:val="00790DFE"/>
    <w:pPr>
      <w:keepNext/>
      <w:keepLines/>
      <w:spacing w:before="480" w:after="0" w:line="240" w:lineRule="auto"/>
      <w:outlineLvl w:val="0"/>
    </w:pPr>
    <w:rPr>
      <w:rFonts w:asciiTheme="majorHAnsi" w:eastAsiaTheme="majorEastAsia" w:hAnsiTheme="majorHAnsi" w:cstheme="majorBidi"/>
      <w:b/>
      <w:bCs/>
      <w:snapToGrid w:val="0"/>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790DFE"/>
    <w:pPr>
      <w:keepNext/>
      <w:keepLines/>
      <w:spacing w:before="200" w:after="0" w:line="240" w:lineRule="auto"/>
      <w:outlineLvl w:val="1"/>
    </w:pPr>
    <w:rPr>
      <w:rFonts w:asciiTheme="majorHAnsi" w:eastAsiaTheme="majorEastAsia" w:hAnsiTheme="majorHAnsi" w:cstheme="majorBidi"/>
      <w:b/>
      <w:bCs/>
      <w:snapToGrid w:val="0"/>
      <w:color w:val="4F81BD" w:themeColor="accent1"/>
      <w:sz w:val="26"/>
      <w:szCs w:val="26"/>
      <w:lang w:eastAsia="ja-JP"/>
    </w:rPr>
  </w:style>
  <w:style w:type="paragraph" w:styleId="Heading3">
    <w:name w:val="heading 3"/>
    <w:basedOn w:val="Normal"/>
    <w:next w:val="Normal"/>
    <w:link w:val="Heading3Char"/>
    <w:unhideWhenUsed/>
    <w:qFormat/>
    <w:rsid w:val="00790DF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90DFE"/>
    <w:pPr>
      <w:keepNext/>
      <w:keepLines/>
      <w:spacing w:before="200" w:after="0" w:line="240" w:lineRule="auto"/>
      <w:outlineLvl w:val="3"/>
    </w:pPr>
    <w:rPr>
      <w:rFonts w:asciiTheme="majorHAnsi" w:eastAsiaTheme="majorEastAsia" w:hAnsiTheme="majorHAnsi" w:cstheme="majorBidi"/>
      <w:b/>
      <w:bCs/>
      <w:i/>
      <w:iCs/>
      <w:snapToGrid w:val="0"/>
      <w:color w:val="4F81BD" w:themeColor="accent1"/>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C97"/>
    <w:pPr>
      <w:tabs>
        <w:tab w:val="center" w:pos="4703"/>
        <w:tab w:val="right" w:pos="9406"/>
      </w:tabs>
      <w:spacing w:after="0" w:line="240" w:lineRule="auto"/>
    </w:pPr>
  </w:style>
  <w:style w:type="character" w:customStyle="1" w:styleId="HeaderChar">
    <w:name w:val="Header Char"/>
    <w:basedOn w:val="DefaultParagraphFont"/>
    <w:link w:val="Header"/>
    <w:uiPriority w:val="99"/>
    <w:rsid w:val="00DF3C97"/>
  </w:style>
  <w:style w:type="paragraph" w:styleId="Footer">
    <w:name w:val="footer"/>
    <w:basedOn w:val="Normal"/>
    <w:link w:val="FooterChar"/>
    <w:uiPriority w:val="99"/>
    <w:unhideWhenUsed/>
    <w:rsid w:val="00DF3C97"/>
    <w:pPr>
      <w:tabs>
        <w:tab w:val="center" w:pos="4703"/>
        <w:tab w:val="right" w:pos="9406"/>
      </w:tabs>
      <w:spacing w:after="0" w:line="240" w:lineRule="auto"/>
    </w:pPr>
  </w:style>
  <w:style w:type="character" w:customStyle="1" w:styleId="FooterChar">
    <w:name w:val="Footer Char"/>
    <w:basedOn w:val="DefaultParagraphFont"/>
    <w:link w:val="Footer"/>
    <w:uiPriority w:val="99"/>
    <w:rsid w:val="00DF3C97"/>
  </w:style>
  <w:style w:type="paragraph" w:customStyle="1" w:styleId="CONFIDENTIAL">
    <w:name w:val="CONFIDENTIAL"/>
    <w:basedOn w:val="Normal"/>
    <w:rsid w:val="005E0570"/>
    <w:pPr>
      <w:spacing w:before="240" w:after="0" w:line="240" w:lineRule="auto"/>
      <w:ind w:right="708"/>
      <w:jc w:val="right"/>
    </w:pPr>
    <w:rPr>
      <w:rFonts w:ascii="Times New Roman" w:eastAsia="Times New Roman" w:hAnsi="Times New Roman" w:cs="Times New Roman"/>
      <w:b/>
      <w:i/>
      <w:sz w:val="28"/>
      <w:szCs w:val="20"/>
      <w:lang w:val="nl-NL" w:eastAsia="pl-PL"/>
    </w:rPr>
  </w:style>
  <w:style w:type="paragraph" w:styleId="Subtitle">
    <w:name w:val="Subtitle"/>
    <w:basedOn w:val="Normal"/>
    <w:link w:val="SubtitleChar"/>
    <w:qFormat/>
    <w:rsid w:val="005E0570"/>
    <w:pPr>
      <w:overflowPunct w:val="0"/>
      <w:autoSpaceDE w:val="0"/>
      <w:autoSpaceDN w:val="0"/>
      <w:adjustRightInd w:val="0"/>
      <w:spacing w:after="0" w:line="240" w:lineRule="auto"/>
      <w:ind w:left="851"/>
      <w:jc w:val="center"/>
      <w:textAlignment w:val="baseline"/>
    </w:pPr>
    <w:rPr>
      <w:rFonts w:ascii="Times New Roman" w:eastAsia="MS Mincho" w:hAnsi="Times New Roman" w:cs="Times New Roman"/>
      <w:b/>
      <w:bCs/>
      <w:sz w:val="26"/>
      <w:szCs w:val="26"/>
      <w:lang w:val="hu-HU" w:eastAsia="ja-JP"/>
    </w:rPr>
  </w:style>
  <w:style w:type="character" w:customStyle="1" w:styleId="SubtitleChar">
    <w:name w:val="Subtitle Char"/>
    <w:basedOn w:val="DefaultParagraphFont"/>
    <w:link w:val="Subtitle"/>
    <w:rsid w:val="005E0570"/>
    <w:rPr>
      <w:rFonts w:ascii="Times New Roman" w:eastAsia="MS Mincho" w:hAnsi="Times New Roman" w:cs="Times New Roman"/>
      <w:b/>
      <w:bCs/>
      <w:sz w:val="26"/>
      <w:szCs w:val="26"/>
      <w:lang w:val="hu-HU" w:eastAsia="ja-JP"/>
    </w:rPr>
  </w:style>
  <w:style w:type="paragraph" w:customStyle="1" w:styleId="Cover">
    <w:name w:val="Cover"/>
    <w:basedOn w:val="Normal"/>
    <w:rsid w:val="005E0570"/>
    <w:pPr>
      <w:spacing w:after="0" w:line="240" w:lineRule="auto"/>
    </w:pPr>
    <w:rPr>
      <w:rFonts w:ascii="Arial" w:eastAsia="Times New Roman" w:hAnsi="Arial" w:cs="Times New Roman"/>
      <w:b/>
      <w:sz w:val="24"/>
      <w:szCs w:val="20"/>
      <w:lang w:val="nl-NL" w:eastAsia="pl-PL"/>
    </w:rPr>
  </w:style>
  <w:style w:type="paragraph" w:styleId="ListParagraph">
    <w:name w:val="List Paragraph"/>
    <w:basedOn w:val="Normal"/>
    <w:uiPriority w:val="34"/>
    <w:qFormat/>
    <w:rsid w:val="00E439EC"/>
    <w:pPr>
      <w:spacing w:after="0" w:line="240" w:lineRule="auto"/>
      <w:ind w:left="720"/>
      <w:contextualSpacing/>
    </w:pPr>
    <w:rPr>
      <w:rFonts w:ascii="Times New Roman" w:eastAsia="MS Mincho" w:hAnsi="Times New Roman" w:cs="Times New Roman"/>
      <w:sz w:val="28"/>
      <w:szCs w:val="28"/>
      <w:lang w:val="hu-HU" w:eastAsia="ja-JP"/>
    </w:rPr>
  </w:style>
  <w:style w:type="table" w:styleId="TableGrid">
    <w:name w:val="Table Grid"/>
    <w:basedOn w:val="TableNormal"/>
    <w:uiPriority w:val="59"/>
    <w:rsid w:val="00E439EC"/>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0DFE"/>
    <w:rPr>
      <w:rFonts w:asciiTheme="majorHAnsi" w:eastAsiaTheme="majorEastAsia" w:hAnsiTheme="majorHAnsi" w:cstheme="majorBidi"/>
      <w:b/>
      <w:bCs/>
      <w:snapToGrid w:val="0"/>
      <w:color w:val="365F91" w:themeColor="accent1" w:themeShade="BF"/>
      <w:sz w:val="28"/>
      <w:szCs w:val="28"/>
      <w:lang w:eastAsia="ja-JP"/>
    </w:rPr>
  </w:style>
  <w:style w:type="character" w:customStyle="1" w:styleId="Heading3Char">
    <w:name w:val="Heading 3 Char"/>
    <w:basedOn w:val="DefaultParagraphFont"/>
    <w:link w:val="Heading3"/>
    <w:rsid w:val="00790DFE"/>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790DFE"/>
    <w:rPr>
      <w:rFonts w:asciiTheme="majorHAnsi" w:eastAsiaTheme="majorEastAsia" w:hAnsiTheme="majorHAnsi" w:cstheme="majorBidi"/>
      <w:b/>
      <w:bCs/>
      <w:snapToGrid w:val="0"/>
      <w:color w:val="4F81BD" w:themeColor="accent1"/>
      <w:sz w:val="26"/>
      <w:szCs w:val="26"/>
      <w:lang w:eastAsia="ja-JP"/>
    </w:rPr>
  </w:style>
  <w:style w:type="character" w:customStyle="1" w:styleId="Heading4Char">
    <w:name w:val="Heading 4 Char"/>
    <w:basedOn w:val="DefaultParagraphFont"/>
    <w:link w:val="Heading4"/>
    <w:uiPriority w:val="9"/>
    <w:rsid w:val="00790DFE"/>
    <w:rPr>
      <w:rFonts w:asciiTheme="majorHAnsi" w:eastAsiaTheme="majorEastAsia" w:hAnsiTheme="majorHAnsi" w:cstheme="majorBidi"/>
      <w:b/>
      <w:bCs/>
      <w:i/>
      <w:iCs/>
      <w:snapToGrid w:val="0"/>
      <w:color w:val="4F81BD" w:themeColor="accent1"/>
      <w:sz w:val="24"/>
      <w:szCs w:val="24"/>
      <w:lang w:eastAsia="ja-JP"/>
    </w:rPr>
  </w:style>
  <w:style w:type="paragraph" w:customStyle="1" w:styleId="StlusArialSorkizrt">
    <w:name w:val="Stílus Arial Sorkizárt"/>
    <w:basedOn w:val="Normal"/>
    <w:rsid w:val="00790DFE"/>
    <w:pPr>
      <w:spacing w:after="0" w:line="240" w:lineRule="auto"/>
      <w:jc w:val="both"/>
    </w:pPr>
    <w:rPr>
      <w:rFonts w:ascii="Arial" w:eastAsia="MS Mincho" w:hAnsi="Arial" w:cs="Arial"/>
      <w:snapToGrid w:val="0"/>
      <w:sz w:val="24"/>
      <w:szCs w:val="24"/>
      <w:lang w:val="en-GB" w:eastAsia="ja-JP"/>
    </w:rPr>
  </w:style>
  <w:style w:type="paragraph" w:styleId="BodyTextIndent2">
    <w:name w:val="Body Text Indent 2"/>
    <w:basedOn w:val="Normal"/>
    <w:link w:val="BodyTextIndent2Char"/>
    <w:rsid w:val="00790DFE"/>
    <w:pPr>
      <w:numPr>
        <w:ilvl w:val="12"/>
      </w:numPr>
      <w:spacing w:after="0" w:line="240" w:lineRule="auto"/>
      <w:ind w:left="567"/>
      <w:jc w:val="both"/>
    </w:pPr>
    <w:rPr>
      <w:rFonts w:ascii="Arial" w:eastAsia="MS Mincho" w:hAnsi="Arial" w:cs="Arial"/>
      <w:snapToGrid w:val="0"/>
      <w:sz w:val="24"/>
      <w:szCs w:val="24"/>
      <w:lang w:eastAsia="ja-JP"/>
    </w:rPr>
  </w:style>
  <w:style w:type="character" w:customStyle="1" w:styleId="BodyTextIndent2Char">
    <w:name w:val="Body Text Indent 2 Char"/>
    <w:basedOn w:val="DefaultParagraphFont"/>
    <w:link w:val="BodyTextIndent2"/>
    <w:rsid w:val="00790DFE"/>
    <w:rPr>
      <w:rFonts w:ascii="Arial" w:eastAsia="MS Mincho" w:hAnsi="Arial" w:cs="Arial"/>
      <w:snapToGrid w:val="0"/>
      <w:sz w:val="24"/>
      <w:szCs w:val="24"/>
      <w:lang w:eastAsia="ja-JP"/>
    </w:rPr>
  </w:style>
  <w:style w:type="paragraph" w:customStyle="1" w:styleId="CharCharCharCharChar">
    <w:name w:val="Char Char Char Char Char"/>
    <w:basedOn w:val="Normal"/>
    <w:rsid w:val="00790DFE"/>
    <w:pPr>
      <w:spacing w:after="160" w:line="240" w:lineRule="exact"/>
    </w:pPr>
    <w:rPr>
      <w:rFonts w:ascii="Verdana" w:eastAsia="Times New Roman" w:hAnsi="Verdana" w:cs="Times New Roman"/>
      <w:sz w:val="20"/>
      <w:szCs w:val="20"/>
    </w:rPr>
  </w:style>
  <w:style w:type="paragraph" w:styleId="NoSpacing">
    <w:name w:val="No Spacing"/>
    <w:uiPriority w:val="1"/>
    <w:qFormat/>
    <w:rsid w:val="00790DFE"/>
    <w:pPr>
      <w:spacing w:after="0" w:line="240" w:lineRule="auto"/>
    </w:pPr>
    <w:rPr>
      <w:rFonts w:ascii="Times New Roman" w:eastAsia="MS Mincho" w:hAnsi="Times New Roman" w:cs="Times New Roman"/>
      <w:snapToGrid w:val="0"/>
      <w:sz w:val="24"/>
      <w:szCs w:val="24"/>
      <w:lang w:val="hu-HU" w:eastAsia="ja-JP"/>
    </w:rPr>
  </w:style>
  <w:style w:type="paragraph" w:customStyle="1" w:styleId="CharCharCharCharCharCharCharCharChar">
    <w:name w:val="Char Char Char Char Char Char Char Char Char"/>
    <w:basedOn w:val="Normal"/>
    <w:rsid w:val="00790DFE"/>
    <w:pPr>
      <w:spacing w:after="160" w:line="240" w:lineRule="exact"/>
    </w:pPr>
    <w:rPr>
      <w:rFonts w:ascii="Verdana" w:eastAsia="Times New Roman" w:hAnsi="Verdana" w:cs="Times New Roman"/>
      <w:sz w:val="20"/>
      <w:szCs w:val="20"/>
    </w:rPr>
  </w:style>
  <w:style w:type="paragraph" w:customStyle="1" w:styleId="style14">
    <w:name w:val="style14"/>
    <w:basedOn w:val="Normal"/>
    <w:rsid w:val="00790DFE"/>
    <w:pPr>
      <w:spacing w:before="100" w:beforeAutospacing="1" w:after="100" w:afterAutospacing="1" w:line="240" w:lineRule="auto"/>
    </w:pPr>
    <w:rPr>
      <w:rFonts w:ascii="Verdana" w:eastAsia="Times New Roman" w:hAnsi="Verdana" w:cs="Times New Roman"/>
      <w:color w:val="003366"/>
      <w:sz w:val="21"/>
      <w:szCs w:val="21"/>
    </w:rPr>
  </w:style>
  <w:style w:type="paragraph" w:styleId="BalloonText">
    <w:name w:val="Balloon Text"/>
    <w:basedOn w:val="Normal"/>
    <w:link w:val="BalloonTextChar"/>
    <w:uiPriority w:val="99"/>
    <w:semiHidden/>
    <w:unhideWhenUsed/>
    <w:rsid w:val="00790DFE"/>
    <w:pPr>
      <w:spacing w:after="0" w:line="240" w:lineRule="auto"/>
    </w:pPr>
    <w:rPr>
      <w:rFonts w:ascii="Tahoma" w:eastAsia="MS Mincho" w:hAnsi="Tahoma" w:cs="Tahoma"/>
      <w:snapToGrid w:val="0"/>
      <w:sz w:val="16"/>
      <w:szCs w:val="16"/>
      <w:lang w:eastAsia="ja-JP"/>
    </w:rPr>
  </w:style>
  <w:style w:type="character" w:customStyle="1" w:styleId="BalloonTextChar">
    <w:name w:val="Balloon Text Char"/>
    <w:basedOn w:val="DefaultParagraphFont"/>
    <w:link w:val="BalloonText"/>
    <w:uiPriority w:val="99"/>
    <w:semiHidden/>
    <w:rsid w:val="00790DFE"/>
    <w:rPr>
      <w:rFonts w:ascii="Tahoma" w:eastAsia="MS Mincho" w:hAnsi="Tahoma" w:cs="Tahoma"/>
      <w:snapToGrid w:val="0"/>
      <w:sz w:val="16"/>
      <w:szCs w:val="16"/>
      <w:lang w:eastAsia="ja-JP"/>
    </w:rPr>
  </w:style>
  <w:style w:type="paragraph" w:styleId="PlainText">
    <w:name w:val="Plain Text"/>
    <w:basedOn w:val="Normal"/>
    <w:link w:val="PlainTextChar"/>
    <w:uiPriority w:val="99"/>
    <w:unhideWhenUsed/>
    <w:rsid w:val="00790DFE"/>
    <w:pPr>
      <w:spacing w:after="0" w:line="240" w:lineRule="auto"/>
    </w:pPr>
    <w:rPr>
      <w:rFonts w:ascii="Arial Narrow" w:eastAsia="Times New Roman" w:hAnsi="Arial Narrow"/>
      <w:color w:val="1F497D" w:themeColor="text2"/>
      <w:szCs w:val="21"/>
    </w:rPr>
  </w:style>
  <w:style w:type="character" w:customStyle="1" w:styleId="PlainTextChar">
    <w:name w:val="Plain Text Char"/>
    <w:basedOn w:val="DefaultParagraphFont"/>
    <w:link w:val="PlainText"/>
    <w:uiPriority w:val="99"/>
    <w:rsid w:val="00790DFE"/>
    <w:rPr>
      <w:rFonts w:ascii="Arial Narrow" w:eastAsia="Times New Roman" w:hAnsi="Arial Narrow"/>
      <w:color w:val="1F497D" w:themeColor="text2"/>
      <w:szCs w:val="21"/>
    </w:rPr>
  </w:style>
  <w:style w:type="character" w:styleId="Hyperlink">
    <w:name w:val="Hyperlink"/>
    <w:basedOn w:val="DefaultParagraphFont"/>
    <w:uiPriority w:val="99"/>
    <w:unhideWhenUsed/>
    <w:rsid w:val="00790DFE"/>
    <w:rPr>
      <w:color w:val="0000FF" w:themeColor="hyperlink"/>
      <w:u w:val="single"/>
    </w:rPr>
  </w:style>
  <w:style w:type="paragraph" w:styleId="NormalWeb">
    <w:name w:val="Normal (Web)"/>
    <w:basedOn w:val="Normal"/>
    <w:uiPriority w:val="99"/>
    <w:semiHidden/>
    <w:unhideWhenUsed/>
    <w:rsid w:val="00790D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790DFE"/>
  </w:style>
  <w:style w:type="character" w:styleId="Emphasis">
    <w:name w:val="Emphasis"/>
    <w:basedOn w:val="DefaultParagraphFont"/>
    <w:uiPriority w:val="20"/>
    <w:qFormat/>
    <w:rsid w:val="00790DFE"/>
    <w:rPr>
      <w:i/>
      <w:iCs/>
    </w:rPr>
  </w:style>
  <w:style w:type="paragraph" w:customStyle="1" w:styleId="xl34">
    <w:name w:val="xl34"/>
    <w:basedOn w:val="Normal"/>
    <w:rsid w:val="00790DFE"/>
    <w:pPr>
      <w:pBdr>
        <w:right w:val="single" w:sz="4" w:space="0" w:color="000000"/>
      </w:pBdr>
      <w:shd w:val="clear" w:color="auto" w:fill="FFFFFF"/>
      <w:spacing w:before="100" w:beforeAutospacing="1" w:after="100" w:afterAutospacing="1" w:line="240" w:lineRule="auto"/>
      <w:jc w:val="center"/>
    </w:pPr>
    <w:rPr>
      <w:rFonts w:ascii="Times New Roman" w:eastAsia="Arial Unicode MS" w:hAnsi="Times New Roman" w:cs="Times New Roman"/>
      <w:i/>
      <w:iCs/>
      <w:sz w:val="20"/>
      <w:szCs w:val="20"/>
      <w:lang w:val="ru-RU" w:eastAsia="ru-RU"/>
    </w:rPr>
  </w:style>
  <w:style w:type="paragraph" w:styleId="BodyText">
    <w:name w:val="Body Text"/>
    <w:basedOn w:val="Normal"/>
    <w:link w:val="BodyTextChar"/>
    <w:uiPriority w:val="99"/>
    <w:unhideWhenUsed/>
    <w:rsid w:val="00790DFE"/>
    <w:pPr>
      <w:spacing w:after="120" w:line="240" w:lineRule="auto"/>
    </w:pPr>
    <w:rPr>
      <w:rFonts w:ascii="Times New Roman" w:eastAsia="MS Mincho" w:hAnsi="Times New Roman" w:cs="Times New Roman"/>
      <w:snapToGrid w:val="0"/>
      <w:sz w:val="24"/>
      <w:szCs w:val="24"/>
      <w:lang w:eastAsia="ja-JP"/>
    </w:rPr>
  </w:style>
  <w:style w:type="character" w:customStyle="1" w:styleId="BodyTextChar">
    <w:name w:val="Body Text Char"/>
    <w:basedOn w:val="DefaultParagraphFont"/>
    <w:link w:val="BodyText"/>
    <w:uiPriority w:val="99"/>
    <w:rsid w:val="00790DFE"/>
    <w:rPr>
      <w:rFonts w:ascii="Times New Roman" w:eastAsia="MS Mincho" w:hAnsi="Times New Roman" w:cs="Times New Roman"/>
      <w:snapToGrid w:val="0"/>
      <w:sz w:val="24"/>
      <w:szCs w:val="24"/>
      <w:lang w:eastAsia="ja-JP"/>
    </w:rPr>
  </w:style>
  <w:style w:type="character" w:styleId="CommentReference">
    <w:name w:val="annotation reference"/>
    <w:basedOn w:val="DefaultParagraphFont"/>
    <w:rsid w:val="0001141E"/>
    <w:rPr>
      <w:sz w:val="16"/>
      <w:szCs w:val="16"/>
    </w:rPr>
  </w:style>
  <w:style w:type="paragraph" w:styleId="CommentText">
    <w:name w:val="annotation text"/>
    <w:basedOn w:val="Normal"/>
    <w:link w:val="CommentTextChar"/>
    <w:rsid w:val="0001141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114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0D5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80D55"/>
    <w:rPr>
      <w:rFonts w:ascii="Times New Roman" w:eastAsia="Times New Roman" w:hAnsi="Times New Roman" w:cs="Times New Roman"/>
      <w:b/>
      <w:bCs/>
      <w:sz w:val="20"/>
      <w:szCs w:val="20"/>
    </w:rPr>
  </w:style>
  <w:style w:type="paragraph" w:styleId="Revision">
    <w:name w:val="Revision"/>
    <w:hidden/>
    <w:uiPriority w:val="99"/>
    <w:semiHidden/>
    <w:rsid w:val="006D4729"/>
    <w:pPr>
      <w:spacing w:after="0" w:line="240" w:lineRule="auto"/>
    </w:pPr>
  </w:style>
  <w:style w:type="character" w:styleId="PlaceholderText">
    <w:name w:val="Placeholder Text"/>
    <w:basedOn w:val="DefaultParagraphFont"/>
    <w:uiPriority w:val="99"/>
    <w:semiHidden/>
    <w:rsid w:val="006A725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08603">
      <w:bodyDiv w:val="1"/>
      <w:marLeft w:val="0"/>
      <w:marRight w:val="0"/>
      <w:marTop w:val="0"/>
      <w:marBottom w:val="0"/>
      <w:divBdr>
        <w:top w:val="none" w:sz="0" w:space="0" w:color="auto"/>
        <w:left w:val="none" w:sz="0" w:space="0" w:color="auto"/>
        <w:bottom w:val="none" w:sz="0" w:space="0" w:color="auto"/>
        <w:right w:val="none" w:sz="0" w:space="0" w:color="auto"/>
      </w:divBdr>
    </w:div>
    <w:div w:id="82606882">
      <w:bodyDiv w:val="1"/>
      <w:marLeft w:val="0"/>
      <w:marRight w:val="0"/>
      <w:marTop w:val="0"/>
      <w:marBottom w:val="0"/>
      <w:divBdr>
        <w:top w:val="none" w:sz="0" w:space="0" w:color="auto"/>
        <w:left w:val="none" w:sz="0" w:space="0" w:color="auto"/>
        <w:bottom w:val="none" w:sz="0" w:space="0" w:color="auto"/>
        <w:right w:val="none" w:sz="0" w:space="0" w:color="auto"/>
      </w:divBdr>
    </w:div>
    <w:div w:id="280114117">
      <w:bodyDiv w:val="1"/>
      <w:marLeft w:val="0"/>
      <w:marRight w:val="0"/>
      <w:marTop w:val="0"/>
      <w:marBottom w:val="0"/>
      <w:divBdr>
        <w:top w:val="none" w:sz="0" w:space="0" w:color="auto"/>
        <w:left w:val="none" w:sz="0" w:space="0" w:color="auto"/>
        <w:bottom w:val="none" w:sz="0" w:space="0" w:color="auto"/>
        <w:right w:val="none" w:sz="0" w:space="0" w:color="auto"/>
      </w:divBdr>
    </w:div>
    <w:div w:id="459153032">
      <w:bodyDiv w:val="1"/>
      <w:marLeft w:val="0"/>
      <w:marRight w:val="0"/>
      <w:marTop w:val="0"/>
      <w:marBottom w:val="0"/>
      <w:divBdr>
        <w:top w:val="none" w:sz="0" w:space="0" w:color="auto"/>
        <w:left w:val="none" w:sz="0" w:space="0" w:color="auto"/>
        <w:bottom w:val="none" w:sz="0" w:space="0" w:color="auto"/>
        <w:right w:val="none" w:sz="0" w:space="0" w:color="auto"/>
      </w:divBdr>
    </w:div>
    <w:div w:id="638993477">
      <w:bodyDiv w:val="1"/>
      <w:marLeft w:val="0"/>
      <w:marRight w:val="0"/>
      <w:marTop w:val="0"/>
      <w:marBottom w:val="0"/>
      <w:divBdr>
        <w:top w:val="none" w:sz="0" w:space="0" w:color="auto"/>
        <w:left w:val="none" w:sz="0" w:space="0" w:color="auto"/>
        <w:bottom w:val="none" w:sz="0" w:space="0" w:color="auto"/>
        <w:right w:val="none" w:sz="0" w:space="0" w:color="auto"/>
      </w:divBdr>
    </w:div>
    <w:div w:id="639116134">
      <w:bodyDiv w:val="1"/>
      <w:marLeft w:val="0"/>
      <w:marRight w:val="0"/>
      <w:marTop w:val="0"/>
      <w:marBottom w:val="0"/>
      <w:divBdr>
        <w:top w:val="none" w:sz="0" w:space="0" w:color="auto"/>
        <w:left w:val="none" w:sz="0" w:space="0" w:color="auto"/>
        <w:bottom w:val="none" w:sz="0" w:space="0" w:color="auto"/>
        <w:right w:val="none" w:sz="0" w:space="0" w:color="auto"/>
      </w:divBdr>
    </w:div>
    <w:div w:id="738283313">
      <w:bodyDiv w:val="1"/>
      <w:marLeft w:val="0"/>
      <w:marRight w:val="0"/>
      <w:marTop w:val="0"/>
      <w:marBottom w:val="0"/>
      <w:divBdr>
        <w:top w:val="none" w:sz="0" w:space="0" w:color="auto"/>
        <w:left w:val="none" w:sz="0" w:space="0" w:color="auto"/>
        <w:bottom w:val="none" w:sz="0" w:space="0" w:color="auto"/>
        <w:right w:val="none" w:sz="0" w:space="0" w:color="auto"/>
      </w:divBdr>
    </w:div>
    <w:div w:id="801970275">
      <w:bodyDiv w:val="1"/>
      <w:marLeft w:val="0"/>
      <w:marRight w:val="0"/>
      <w:marTop w:val="0"/>
      <w:marBottom w:val="0"/>
      <w:divBdr>
        <w:top w:val="none" w:sz="0" w:space="0" w:color="auto"/>
        <w:left w:val="none" w:sz="0" w:space="0" w:color="auto"/>
        <w:bottom w:val="none" w:sz="0" w:space="0" w:color="auto"/>
        <w:right w:val="none" w:sz="0" w:space="0" w:color="auto"/>
      </w:divBdr>
    </w:div>
    <w:div w:id="1057049625">
      <w:bodyDiv w:val="1"/>
      <w:marLeft w:val="0"/>
      <w:marRight w:val="0"/>
      <w:marTop w:val="0"/>
      <w:marBottom w:val="0"/>
      <w:divBdr>
        <w:top w:val="none" w:sz="0" w:space="0" w:color="auto"/>
        <w:left w:val="none" w:sz="0" w:space="0" w:color="auto"/>
        <w:bottom w:val="none" w:sz="0" w:space="0" w:color="auto"/>
        <w:right w:val="none" w:sz="0" w:space="0" w:color="auto"/>
      </w:divBdr>
    </w:div>
    <w:div w:id="1173885185">
      <w:bodyDiv w:val="1"/>
      <w:marLeft w:val="0"/>
      <w:marRight w:val="0"/>
      <w:marTop w:val="0"/>
      <w:marBottom w:val="0"/>
      <w:divBdr>
        <w:top w:val="none" w:sz="0" w:space="0" w:color="auto"/>
        <w:left w:val="none" w:sz="0" w:space="0" w:color="auto"/>
        <w:bottom w:val="none" w:sz="0" w:space="0" w:color="auto"/>
        <w:right w:val="none" w:sz="0" w:space="0" w:color="auto"/>
      </w:divBdr>
    </w:div>
    <w:div w:id="1349597635">
      <w:bodyDiv w:val="1"/>
      <w:marLeft w:val="0"/>
      <w:marRight w:val="0"/>
      <w:marTop w:val="0"/>
      <w:marBottom w:val="0"/>
      <w:divBdr>
        <w:top w:val="none" w:sz="0" w:space="0" w:color="auto"/>
        <w:left w:val="none" w:sz="0" w:space="0" w:color="auto"/>
        <w:bottom w:val="none" w:sz="0" w:space="0" w:color="auto"/>
        <w:right w:val="none" w:sz="0" w:space="0" w:color="auto"/>
      </w:divBdr>
    </w:div>
    <w:div w:id="1351755596">
      <w:bodyDiv w:val="1"/>
      <w:marLeft w:val="0"/>
      <w:marRight w:val="0"/>
      <w:marTop w:val="0"/>
      <w:marBottom w:val="0"/>
      <w:divBdr>
        <w:top w:val="none" w:sz="0" w:space="0" w:color="auto"/>
        <w:left w:val="none" w:sz="0" w:space="0" w:color="auto"/>
        <w:bottom w:val="none" w:sz="0" w:space="0" w:color="auto"/>
        <w:right w:val="none" w:sz="0" w:space="0" w:color="auto"/>
      </w:divBdr>
    </w:div>
    <w:div w:id="1459452515">
      <w:bodyDiv w:val="1"/>
      <w:marLeft w:val="0"/>
      <w:marRight w:val="0"/>
      <w:marTop w:val="0"/>
      <w:marBottom w:val="0"/>
      <w:divBdr>
        <w:top w:val="none" w:sz="0" w:space="0" w:color="auto"/>
        <w:left w:val="none" w:sz="0" w:space="0" w:color="auto"/>
        <w:bottom w:val="none" w:sz="0" w:space="0" w:color="auto"/>
        <w:right w:val="none" w:sz="0" w:space="0" w:color="auto"/>
      </w:divBdr>
    </w:div>
    <w:div w:id="1556351558">
      <w:bodyDiv w:val="1"/>
      <w:marLeft w:val="0"/>
      <w:marRight w:val="0"/>
      <w:marTop w:val="0"/>
      <w:marBottom w:val="0"/>
      <w:divBdr>
        <w:top w:val="none" w:sz="0" w:space="0" w:color="auto"/>
        <w:left w:val="none" w:sz="0" w:space="0" w:color="auto"/>
        <w:bottom w:val="none" w:sz="0" w:space="0" w:color="auto"/>
        <w:right w:val="none" w:sz="0" w:space="0" w:color="auto"/>
      </w:divBdr>
    </w:div>
    <w:div w:id="1617181220">
      <w:bodyDiv w:val="1"/>
      <w:marLeft w:val="0"/>
      <w:marRight w:val="0"/>
      <w:marTop w:val="0"/>
      <w:marBottom w:val="0"/>
      <w:divBdr>
        <w:top w:val="none" w:sz="0" w:space="0" w:color="auto"/>
        <w:left w:val="none" w:sz="0" w:space="0" w:color="auto"/>
        <w:bottom w:val="none" w:sz="0" w:space="0" w:color="auto"/>
        <w:right w:val="none" w:sz="0" w:space="0" w:color="auto"/>
      </w:divBdr>
    </w:div>
    <w:div w:id="1626109460">
      <w:bodyDiv w:val="1"/>
      <w:marLeft w:val="0"/>
      <w:marRight w:val="0"/>
      <w:marTop w:val="0"/>
      <w:marBottom w:val="0"/>
      <w:divBdr>
        <w:top w:val="none" w:sz="0" w:space="0" w:color="auto"/>
        <w:left w:val="none" w:sz="0" w:space="0" w:color="auto"/>
        <w:bottom w:val="none" w:sz="0" w:space="0" w:color="auto"/>
        <w:right w:val="none" w:sz="0" w:space="0" w:color="auto"/>
      </w:divBdr>
    </w:div>
    <w:div w:id="1860850254">
      <w:bodyDiv w:val="1"/>
      <w:marLeft w:val="0"/>
      <w:marRight w:val="0"/>
      <w:marTop w:val="0"/>
      <w:marBottom w:val="0"/>
      <w:divBdr>
        <w:top w:val="none" w:sz="0" w:space="0" w:color="auto"/>
        <w:left w:val="none" w:sz="0" w:space="0" w:color="auto"/>
        <w:bottom w:val="none" w:sz="0" w:space="0" w:color="auto"/>
        <w:right w:val="none" w:sz="0" w:space="0" w:color="auto"/>
      </w:divBdr>
    </w:div>
    <w:div w:id="2024092720">
      <w:bodyDiv w:val="1"/>
      <w:marLeft w:val="0"/>
      <w:marRight w:val="0"/>
      <w:marTop w:val="0"/>
      <w:marBottom w:val="0"/>
      <w:divBdr>
        <w:top w:val="none" w:sz="0" w:space="0" w:color="auto"/>
        <w:left w:val="none" w:sz="0" w:space="0" w:color="auto"/>
        <w:bottom w:val="none" w:sz="0" w:space="0" w:color="auto"/>
        <w:right w:val="none" w:sz="0" w:space="0" w:color="auto"/>
      </w:divBdr>
    </w:div>
    <w:div w:id="2072995083">
      <w:bodyDiv w:val="1"/>
      <w:marLeft w:val="0"/>
      <w:marRight w:val="0"/>
      <w:marTop w:val="0"/>
      <w:marBottom w:val="0"/>
      <w:divBdr>
        <w:top w:val="none" w:sz="0" w:space="0" w:color="auto"/>
        <w:left w:val="none" w:sz="0" w:space="0" w:color="auto"/>
        <w:bottom w:val="none" w:sz="0" w:space="0" w:color="auto"/>
        <w:right w:val="none" w:sz="0" w:space="0" w:color="auto"/>
      </w:divBdr>
    </w:div>
    <w:div w:id="2074503588">
      <w:bodyDiv w:val="1"/>
      <w:marLeft w:val="0"/>
      <w:marRight w:val="0"/>
      <w:marTop w:val="0"/>
      <w:marBottom w:val="0"/>
      <w:divBdr>
        <w:top w:val="none" w:sz="0" w:space="0" w:color="auto"/>
        <w:left w:val="none" w:sz="0" w:space="0" w:color="auto"/>
        <w:bottom w:val="none" w:sz="0" w:space="0" w:color="auto"/>
        <w:right w:val="none" w:sz="0" w:space="0" w:color="auto"/>
      </w:divBdr>
    </w:div>
    <w:div w:id="210556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62622C2-1D40-4E03-81C2-AAA4F01283E3}"/>
      </w:docPartPr>
      <w:docPartBody>
        <w:p w:rsidR="002E5116" w:rsidRDefault="00173FD2">
          <w:r w:rsidRPr="00E928F2">
            <w:rPr>
              <w:rStyle w:val="PlaceholderText"/>
            </w:rPr>
            <w:t>Choose an item.</w:t>
          </w:r>
        </w:p>
      </w:docPartBody>
    </w:docPart>
    <w:docPart>
      <w:docPartPr>
        <w:name w:val="E7701AC4B1D1435CA52F549BB3B45A68"/>
        <w:category>
          <w:name w:val="General"/>
          <w:gallery w:val="placeholder"/>
        </w:category>
        <w:types>
          <w:type w:val="bbPlcHdr"/>
        </w:types>
        <w:behaviors>
          <w:behavior w:val="content"/>
        </w:behaviors>
        <w:guid w:val="{3D4C98D2-2E71-4406-B01D-E70C86851C44}"/>
      </w:docPartPr>
      <w:docPartBody>
        <w:p w:rsidR="002E5116" w:rsidRDefault="00173FD2" w:rsidP="00173FD2">
          <w:pPr>
            <w:pStyle w:val="E7701AC4B1D1435CA52F549BB3B45A683"/>
          </w:pPr>
          <w:r w:rsidRPr="00E928F2">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034408AF-669E-4705-9DB4-A57C639D4A74}"/>
      </w:docPartPr>
      <w:docPartBody>
        <w:p w:rsidR="002E5116" w:rsidRDefault="00173FD2">
          <w:r w:rsidRPr="00E928F2">
            <w:rPr>
              <w:rStyle w:val="PlaceholderText"/>
            </w:rPr>
            <w:t>Click or tap to enter a date.</w:t>
          </w:r>
        </w:p>
      </w:docPartBody>
    </w:docPart>
    <w:docPart>
      <w:docPartPr>
        <w:name w:val="5677A97AA0BB47B2BAC1C07F7C6BE7F2"/>
        <w:category>
          <w:name w:val="General"/>
          <w:gallery w:val="placeholder"/>
        </w:category>
        <w:types>
          <w:type w:val="bbPlcHdr"/>
        </w:types>
        <w:behaviors>
          <w:behavior w:val="content"/>
        </w:behaviors>
        <w:guid w:val="{83EF09C6-EF27-4B52-9180-B413E078E47E}"/>
      </w:docPartPr>
      <w:docPartBody>
        <w:p w:rsidR="002E5116" w:rsidRDefault="00173FD2" w:rsidP="00173FD2">
          <w:pPr>
            <w:pStyle w:val="5677A97AA0BB47B2BAC1C07F7C6BE7F21"/>
          </w:pPr>
          <w:r w:rsidRPr="00E928F2">
            <w:rPr>
              <w:rStyle w:val="PlaceholderText"/>
            </w:rPr>
            <w:t>Choose an item.</w:t>
          </w:r>
        </w:p>
      </w:docPartBody>
    </w:docPart>
    <w:docPart>
      <w:docPartPr>
        <w:name w:val="7FE49336A121491E83F53EE48B90BB62"/>
        <w:category>
          <w:name w:val="General"/>
          <w:gallery w:val="placeholder"/>
        </w:category>
        <w:types>
          <w:type w:val="bbPlcHdr"/>
        </w:types>
        <w:behaviors>
          <w:behavior w:val="content"/>
        </w:behaviors>
        <w:guid w:val="{C7994EB7-E092-4158-B1B5-85688F66BF62}"/>
      </w:docPartPr>
      <w:docPartBody>
        <w:p w:rsidR="002E5116" w:rsidRDefault="00173FD2" w:rsidP="00173FD2">
          <w:pPr>
            <w:pStyle w:val="7FE49336A121491E83F53EE48B90BB621"/>
          </w:pPr>
          <w:r w:rsidRPr="00E928F2">
            <w:rPr>
              <w:rStyle w:val="PlaceholderText"/>
            </w:rPr>
            <w:t>Choose an item.</w:t>
          </w:r>
        </w:p>
      </w:docPartBody>
    </w:docPart>
    <w:docPart>
      <w:docPartPr>
        <w:name w:val="D0C778B9B4054A0C96DD81C9BF1BA383"/>
        <w:category>
          <w:name w:val="General"/>
          <w:gallery w:val="placeholder"/>
        </w:category>
        <w:types>
          <w:type w:val="bbPlcHdr"/>
        </w:types>
        <w:behaviors>
          <w:behavior w:val="content"/>
        </w:behaviors>
        <w:guid w:val="{2D12C1BA-34DD-4206-B55A-105F87872949}"/>
      </w:docPartPr>
      <w:docPartBody>
        <w:p w:rsidR="002E5116" w:rsidRDefault="00173FD2" w:rsidP="00173FD2">
          <w:pPr>
            <w:pStyle w:val="D0C778B9B4054A0C96DD81C9BF1BA3831"/>
          </w:pPr>
          <w:r w:rsidRPr="00E928F2">
            <w:rPr>
              <w:rStyle w:val="PlaceholderText"/>
            </w:rPr>
            <w:t>Choose an item.</w:t>
          </w:r>
        </w:p>
      </w:docPartBody>
    </w:docPart>
    <w:docPart>
      <w:docPartPr>
        <w:name w:val="E48A606D38B74E8E94FE29DDFB57B3A9"/>
        <w:category>
          <w:name w:val="General"/>
          <w:gallery w:val="placeholder"/>
        </w:category>
        <w:types>
          <w:type w:val="bbPlcHdr"/>
        </w:types>
        <w:behaviors>
          <w:behavior w:val="content"/>
        </w:behaviors>
        <w:guid w:val="{A0D26073-5F7B-47FA-89F0-A15697AB166B}"/>
      </w:docPartPr>
      <w:docPartBody>
        <w:p w:rsidR="002E5116" w:rsidRDefault="00173FD2" w:rsidP="00173FD2">
          <w:pPr>
            <w:pStyle w:val="E48A606D38B74E8E94FE29DDFB57B3A91"/>
          </w:pPr>
          <w:r w:rsidRPr="00E928F2">
            <w:rPr>
              <w:rStyle w:val="PlaceholderText"/>
            </w:rPr>
            <w:t>Choose an item.</w:t>
          </w:r>
        </w:p>
      </w:docPartBody>
    </w:docPart>
    <w:docPart>
      <w:docPartPr>
        <w:name w:val="A00A27A0EB484624A79369CD5A2D0A9E"/>
        <w:category>
          <w:name w:val="General"/>
          <w:gallery w:val="placeholder"/>
        </w:category>
        <w:types>
          <w:type w:val="bbPlcHdr"/>
        </w:types>
        <w:behaviors>
          <w:behavior w:val="content"/>
        </w:behaviors>
        <w:guid w:val="{9B31A145-8928-459F-A496-98AC2B1A84C6}"/>
      </w:docPartPr>
      <w:docPartBody>
        <w:p w:rsidR="002E5116" w:rsidRDefault="00173FD2" w:rsidP="00173FD2">
          <w:pPr>
            <w:pStyle w:val="A00A27A0EB484624A79369CD5A2D0A9E1"/>
          </w:pPr>
          <w:r w:rsidRPr="00E928F2">
            <w:rPr>
              <w:rStyle w:val="PlaceholderText"/>
            </w:rPr>
            <w:t>Choose an item.</w:t>
          </w:r>
        </w:p>
      </w:docPartBody>
    </w:docPart>
    <w:docPart>
      <w:docPartPr>
        <w:name w:val="3CBC871ECF0A478589BF88CF30710186"/>
        <w:category>
          <w:name w:val="General"/>
          <w:gallery w:val="placeholder"/>
        </w:category>
        <w:types>
          <w:type w:val="bbPlcHdr"/>
        </w:types>
        <w:behaviors>
          <w:behavior w:val="content"/>
        </w:behaviors>
        <w:guid w:val="{1995E0D3-62D3-4D60-89FF-CC073FA97CEC}"/>
      </w:docPartPr>
      <w:docPartBody>
        <w:p w:rsidR="002E5116" w:rsidRDefault="00173FD2" w:rsidP="00173FD2">
          <w:pPr>
            <w:pStyle w:val="3CBC871ECF0A478589BF88CF307101861"/>
          </w:pPr>
          <w:r w:rsidRPr="00E928F2">
            <w:rPr>
              <w:rStyle w:val="PlaceholderText"/>
            </w:rPr>
            <w:t>Choose an item.</w:t>
          </w:r>
        </w:p>
      </w:docPartBody>
    </w:docPart>
    <w:docPart>
      <w:docPartPr>
        <w:name w:val="214051E03E67420CAFE43CA182BBBE07"/>
        <w:category>
          <w:name w:val="General"/>
          <w:gallery w:val="placeholder"/>
        </w:category>
        <w:types>
          <w:type w:val="bbPlcHdr"/>
        </w:types>
        <w:behaviors>
          <w:behavior w:val="content"/>
        </w:behaviors>
        <w:guid w:val="{485DB58E-2366-456F-8288-CCCB69895A7C}"/>
      </w:docPartPr>
      <w:docPartBody>
        <w:p w:rsidR="002E5116" w:rsidRDefault="00173FD2" w:rsidP="00173FD2">
          <w:pPr>
            <w:pStyle w:val="214051E03E67420CAFE43CA182BBBE071"/>
          </w:pPr>
          <w:r w:rsidRPr="00E928F2">
            <w:rPr>
              <w:rStyle w:val="PlaceholderText"/>
            </w:rPr>
            <w:t>Choose an item.</w:t>
          </w:r>
        </w:p>
      </w:docPartBody>
    </w:docPart>
    <w:docPart>
      <w:docPartPr>
        <w:name w:val="A947C6DE1C6241C79675F7BCFB1206CE"/>
        <w:category>
          <w:name w:val="General"/>
          <w:gallery w:val="placeholder"/>
        </w:category>
        <w:types>
          <w:type w:val="bbPlcHdr"/>
        </w:types>
        <w:behaviors>
          <w:behavior w:val="content"/>
        </w:behaviors>
        <w:guid w:val="{97216DF0-43E4-4C24-92FF-5B93AE37C474}"/>
      </w:docPartPr>
      <w:docPartBody>
        <w:p w:rsidR="002E5116" w:rsidRDefault="00173FD2" w:rsidP="00173FD2">
          <w:pPr>
            <w:pStyle w:val="A947C6DE1C6241C79675F7BCFB1206CE1"/>
          </w:pPr>
          <w:r w:rsidRPr="00E928F2">
            <w:rPr>
              <w:rStyle w:val="PlaceholderText"/>
            </w:rPr>
            <w:t>Choose an item.</w:t>
          </w:r>
        </w:p>
      </w:docPartBody>
    </w:docPart>
    <w:docPart>
      <w:docPartPr>
        <w:name w:val="576B6556CEEB43408B0F0F4E71BD48BC"/>
        <w:category>
          <w:name w:val="General"/>
          <w:gallery w:val="placeholder"/>
        </w:category>
        <w:types>
          <w:type w:val="bbPlcHdr"/>
        </w:types>
        <w:behaviors>
          <w:behavior w:val="content"/>
        </w:behaviors>
        <w:guid w:val="{E5CC6F8F-658A-4569-A4E2-B9FAB751BAA3}"/>
      </w:docPartPr>
      <w:docPartBody>
        <w:p w:rsidR="002E5116" w:rsidRDefault="00173FD2" w:rsidP="00173FD2">
          <w:pPr>
            <w:pStyle w:val="576B6556CEEB43408B0F0F4E71BD48BC"/>
          </w:pPr>
          <w:r w:rsidRPr="00E928F2">
            <w:rPr>
              <w:rStyle w:val="PlaceholderText"/>
            </w:rPr>
            <w:t>Choose an item.</w:t>
          </w:r>
        </w:p>
      </w:docPartBody>
    </w:docPart>
    <w:docPart>
      <w:docPartPr>
        <w:name w:val="A83D35CCEAAE4E89974FCFB00BDA43F5"/>
        <w:category>
          <w:name w:val="General"/>
          <w:gallery w:val="placeholder"/>
        </w:category>
        <w:types>
          <w:type w:val="bbPlcHdr"/>
        </w:types>
        <w:behaviors>
          <w:behavior w:val="content"/>
        </w:behaviors>
        <w:guid w:val="{4161F391-89AA-42F7-A801-7295C47AA641}"/>
      </w:docPartPr>
      <w:docPartBody>
        <w:p w:rsidR="002E5116" w:rsidRDefault="00173FD2" w:rsidP="00173FD2">
          <w:pPr>
            <w:pStyle w:val="A83D35CCEAAE4E89974FCFB00BDA43F5"/>
          </w:pPr>
          <w:r w:rsidRPr="00E928F2">
            <w:rPr>
              <w:rStyle w:val="PlaceholderText"/>
            </w:rPr>
            <w:t>Choose an item.</w:t>
          </w:r>
        </w:p>
      </w:docPartBody>
    </w:docPart>
    <w:docPart>
      <w:docPartPr>
        <w:name w:val="D47E721D97B44D48A4F344F1FE3FA6CA"/>
        <w:category>
          <w:name w:val="General"/>
          <w:gallery w:val="placeholder"/>
        </w:category>
        <w:types>
          <w:type w:val="bbPlcHdr"/>
        </w:types>
        <w:behaviors>
          <w:behavior w:val="content"/>
        </w:behaviors>
        <w:guid w:val="{F33D942E-61F0-4A83-824B-D81053DC2F29}"/>
      </w:docPartPr>
      <w:docPartBody>
        <w:p w:rsidR="002E5116" w:rsidRDefault="00173FD2" w:rsidP="00173FD2">
          <w:pPr>
            <w:pStyle w:val="D47E721D97B44D48A4F344F1FE3FA6CA"/>
          </w:pPr>
          <w:r w:rsidRPr="00E928F2">
            <w:rPr>
              <w:rStyle w:val="PlaceholderText"/>
            </w:rPr>
            <w:t>Choose an item.</w:t>
          </w:r>
        </w:p>
      </w:docPartBody>
    </w:docPart>
    <w:docPart>
      <w:docPartPr>
        <w:name w:val="BB69FBC714694F3F8170E44AD1B64BD1"/>
        <w:category>
          <w:name w:val="General"/>
          <w:gallery w:val="placeholder"/>
        </w:category>
        <w:types>
          <w:type w:val="bbPlcHdr"/>
        </w:types>
        <w:behaviors>
          <w:behavior w:val="content"/>
        </w:behaviors>
        <w:guid w:val="{68EF5838-EA80-4ACB-90AA-918CBE0DE871}"/>
      </w:docPartPr>
      <w:docPartBody>
        <w:p w:rsidR="002E5116" w:rsidRDefault="00173FD2" w:rsidP="00173FD2">
          <w:pPr>
            <w:pStyle w:val="BB69FBC714694F3F8170E44AD1B64BD1"/>
          </w:pPr>
          <w:r w:rsidRPr="00E928F2">
            <w:rPr>
              <w:rStyle w:val="PlaceholderText"/>
            </w:rPr>
            <w:t>Choose an item.</w:t>
          </w:r>
        </w:p>
      </w:docPartBody>
    </w:docPart>
    <w:docPart>
      <w:docPartPr>
        <w:name w:val="89217B1106F6423191F07CEF8F458898"/>
        <w:category>
          <w:name w:val="General"/>
          <w:gallery w:val="placeholder"/>
        </w:category>
        <w:types>
          <w:type w:val="bbPlcHdr"/>
        </w:types>
        <w:behaviors>
          <w:behavior w:val="content"/>
        </w:behaviors>
        <w:guid w:val="{0F33EDC7-BE69-4276-82AF-F9AD6727BB6E}"/>
      </w:docPartPr>
      <w:docPartBody>
        <w:p w:rsidR="002E5116" w:rsidRDefault="00173FD2" w:rsidP="00173FD2">
          <w:pPr>
            <w:pStyle w:val="89217B1106F6423191F07CEF8F458898"/>
          </w:pPr>
          <w:r w:rsidRPr="00E928F2">
            <w:rPr>
              <w:rStyle w:val="PlaceholderText"/>
            </w:rPr>
            <w:t>Choose an item.</w:t>
          </w:r>
        </w:p>
      </w:docPartBody>
    </w:docPart>
    <w:docPart>
      <w:docPartPr>
        <w:name w:val="0EC176984E7D4CAF960A0C28AA3E7E4B"/>
        <w:category>
          <w:name w:val="General"/>
          <w:gallery w:val="placeholder"/>
        </w:category>
        <w:types>
          <w:type w:val="bbPlcHdr"/>
        </w:types>
        <w:behaviors>
          <w:behavior w:val="content"/>
        </w:behaviors>
        <w:guid w:val="{0A6A0DD4-2BA8-47C3-ACBB-C2FD2CBD838E}"/>
      </w:docPartPr>
      <w:docPartBody>
        <w:p w:rsidR="002E5116" w:rsidRDefault="00173FD2" w:rsidP="00173FD2">
          <w:pPr>
            <w:pStyle w:val="0EC176984E7D4CAF960A0C28AA3E7E4B"/>
          </w:pPr>
          <w:r w:rsidRPr="00E928F2">
            <w:rPr>
              <w:rStyle w:val="PlaceholderText"/>
            </w:rPr>
            <w:t>Choose an item.</w:t>
          </w:r>
        </w:p>
      </w:docPartBody>
    </w:docPart>
    <w:docPart>
      <w:docPartPr>
        <w:name w:val="1D2064BB7BA040FD97829C5AE5F1AB97"/>
        <w:category>
          <w:name w:val="General"/>
          <w:gallery w:val="placeholder"/>
        </w:category>
        <w:types>
          <w:type w:val="bbPlcHdr"/>
        </w:types>
        <w:behaviors>
          <w:behavior w:val="content"/>
        </w:behaviors>
        <w:guid w:val="{0B3848A6-BED6-4986-A3AC-242ECC17272F}"/>
      </w:docPartPr>
      <w:docPartBody>
        <w:p w:rsidR="002E5116" w:rsidRDefault="00173FD2" w:rsidP="00173FD2">
          <w:pPr>
            <w:pStyle w:val="1D2064BB7BA040FD97829C5AE5F1AB97"/>
          </w:pPr>
          <w:r w:rsidRPr="00E928F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D2"/>
    <w:rsid w:val="000526DC"/>
    <w:rsid w:val="00144CB3"/>
    <w:rsid w:val="00173FD2"/>
    <w:rsid w:val="002534A0"/>
    <w:rsid w:val="002E5116"/>
    <w:rsid w:val="004A3B47"/>
    <w:rsid w:val="0067746A"/>
    <w:rsid w:val="0088075E"/>
    <w:rsid w:val="0093677F"/>
    <w:rsid w:val="00A75C92"/>
    <w:rsid w:val="00E77DEE"/>
    <w:rsid w:val="00FD706E"/>
    <w:rsid w:val="00FE4E1B"/>
    <w:rsid w:val="00FF7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3FD2"/>
    <w:rPr>
      <w:color w:val="666666"/>
    </w:rPr>
  </w:style>
  <w:style w:type="paragraph" w:customStyle="1" w:styleId="576B6556CEEB43408B0F0F4E71BD48BC">
    <w:name w:val="576B6556CEEB43408B0F0F4E71BD48BC"/>
    <w:rsid w:val="00173FD2"/>
  </w:style>
  <w:style w:type="paragraph" w:customStyle="1" w:styleId="E7701AC4B1D1435CA52F549BB3B45A683">
    <w:name w:val="E7701AC4B1D1435CA52F549BB3B45A683"/>
    <w:rsid w:val="00173FD2"/>
    <w:pPr>
      <w:spacing w:after="200" w:line="276" w:lineRule="auto"/>
    </w:pPr>
    <w:rPr>
      <w:rFonts w:eastAsiaTheme="minorHAnsi"/>
      <w:kern w:val="0"/>
      <w:sz w:val="22"/>
      <w:szCs w:val="22"/>
      <w14:ligatures w14:val="none"/>
    </w:rPr>
  </w:style>
  <w:style w:type="paragraph" w:customStyle="1" w:styleId="5677A97AA0BB47B2BAC1C07F7C6BE7F21">
    <w:name w:val="5677A97AA0BB47B2BAC1C07F7C6BE7F21"/>
    <w:rsid w:val="00173FD2"/>
    <w:pPr>
      <w:spacing w:after="200" w:line="276" w:lineRule="auto"/>
    </w:pPr>
    <w:rPr>
      <w:rFonts w:eastAsiaTheme="minorHAnsi"/>
      <w:kern w:val="0"/>
      <w:sz w:val="22"/>
      <w:szCs w:val="22"/>
      <w14:ligatures w14:val="none"/>
    </w:rPr>
  </w:style>
  <w:style w:type="paragraph" w:customStyle="1" w:styleId="7FE49336A121491E83F53EE48B90BB621">
    <w:name w:val="7FE49336A121491E83F53EE48B90BB621"/>
    <w:rsid w:val="00173FD2"/>
    <w:pPr>
      <w:spacing w:after="200" w:line="276" w:lineRule="auto"/>
    </w:pPr>
    <w:rPr>
      <w:rFonts w:eastAsiaTheme="minorHAnsi"/>
      <w:kern w:val="0"/>
      <w:sz w:val="22"/>
      <w:szCs w:val="22"/>
      <w14:ligatures w14:val="none"/>
    </w:rPr>
  </w:style>
  <w:style w:type="paragraph" w:customStyle="1" w:styleId="D0C778B9B4054A0C96DD81C9BF1BA3831">
    <w:name w:val="D0C778B9B4054A0C96DD81C9BF1BA3831"/>
    <w:rsid w:val="00173FD2"/>
    <w:pPr>
      <w:spacing w:after="200" w:line="276" w:lineRule="auto"/>
    </w:pPr>
    <w:rPr>
      <w:rFonts w:eastAsiaTheme="minorHAnsi"/>
      <w:kern w:val="0"/>
      <w:sz w:val="22"/>
      <w:szCs w:val="22"/>
      <w14:ligatures w14:val="none"/>
    </w:rPr>
  </w:style>
  <w:style w:type="paragraph" w:customStyle="1" w:styleId="E48A606D38B74E8E94FE29DDFB57B3A91">
    <w:name w:val="E48A606D38B74E8E94FE29DDFB57B3A91"/>
    <w:rsid w:val="00173FD2"/>
    <w:pPr>
      <w:spacing w:after="200" w:line="276" w:lineRule="auto"/>
    </w:pPr>
    <w:rPr>
      <w:rFonts w:eastAsiaTheme="minorHAnsi"/>
      <w:kern w:val="0"/>
      <w:sz w:val="22"/>
      <w:szCs w:val="22"/>
      <w14:ligatures w14:val="none"/>
    </w:rPr>
  </w:style>
  <w:style w:type="paragraph" w:customStyle="1" w:styleId="A00A27A0EB484624A79369CD5A2D0A9E1">
    <w:name w:val="A00A27A0EB484624A79369CD5A2D0A9E1"/>
    <w:rsid w:val="00173FD2"/>
    <w:pPr>
      <w:spacing w:after="200" w:line="276" w:lineRule="auto"/>
    </w:pPr>
    <w:rPr>
      <w:rFonts w:eastAsiaTheme="minorHAnsi"/>
      <w:kern w:val="0"/>
      <w:sz w:val="22"/>
      <w:szCs w:val="22"/>
      <w14:ligatures w14:val="none"/>
    </w:rPr>
  </w:style>
  <w:style w:type="paragraph" w:customStyle="1" w:styleId="3CBC871ECF0A478589BF88CF307101861">
    <w:name w:val="3CBC871ECF0A478589BF88CF307101861"/>
    <w:rsid w:val="00173FD2"/>
    <w:pPr>
      <w:spacing w:after="200" w:line="276" w:lineRule="auto"/>
    </w:pPr>
    <w:rPr>
      <w:rFonts w:eastAsiaTheme="minorHAnsi"/>
      <w:kern w:val="0"/>
      <w:sz w:val="22"/>
      <w:szCs w:val="22"/>
      <w14:ligatures w14:val="none"/>
    </w:rPr>
  </w:style>
  <w:style w:type="paragraph" w:customStyle="1" w:styleId="214051E03E67420CAFE43CA182BBBE071">
    <w:name w:val="214051E03E67420CAFE43CA182BBBE071"/>
    <w:rsid w:val="00173FD2"/>
    <w:pPr>
      <w:spacing w:after="200" w:line="276" w:lineRule="auto"/>
    </w:pPr>
    <w:rPr>
      <w:rFonts w:eastAsiaTheme="minorHAnsi"/>
      <w:kern w:val="0"/>
      <w:sz w:val="22"/>
      <w:szCs w:val="22"/>
      <w14:ligatures w14:val="none"/>
    </w:rPr>
  </w:style>
  <w:style w:type="paragraph" w:customStyle="1" w:styleId="A83D35CCEAAE4E89974FCFB00BDA43F5">
    <w:name w:val="A83D35CCEAAE4E89974FCFB00BDA43F5"/>
    <w:rsid w:val="00173FD2"/>
    <w:pPr>
      <w:spacing w:after="200" w:line="276" w:lineRule="auto"/>
    </w:pPr>
    <w:rPr>
      <w:rFonts w:eastAsiaTheme="minorHAnsi"/>
      <w:kern w:val="0"/>
      <w:sz w:val="22"/>
      <w:szCs w:val="22"/>
      <w14:ligatures w14:val="none"/>
    </w:rPr>
  </w:style>
  <w:style w:type="paragraph" w:customStyle="1" w:styleId="A947C6DE1C6241C79675F7BCFB1206CE1">
    <w:name w:val="A947C6DE1C6241C79675F7BCFB1206CE1"/>
    <w:rsid w:val="00173FD2"/>
    <w:pPr>
      <w:spacing w:after="200" w:line="276" w:lineRule="auto"/>
    </w:pPr>
    <w:rPr>
      <w:rFonts w:eastAsiaTheme="minorHAnsi"/>
      <w:kern w:val="0"/>
      <w:sz w:val="22"/>
      <w:szCs w:val="22"/>
      <w14:ligatures w14:val="none"/>
    </w:rPr>
  </w:style>
  <w:style w:type="paragraph" w:customStyle="1" w:styleId="D47E721D97B44D48A4F344F1FE3FA6CA">
    <w:name w:val="D47E721D97B44D48A4F344F1FE3FA6CA"/>
    <w:rsid w:val="00173FD2"/>
    <w:pPr>
      <w:spacing w:after="200" w:line="276" w:lineRule="auto"/>
    </w:pPr>
    <w:rPr>
      <w:rFonts w:eastAsiaTheme="minorHAnsi"/>
      <w:kern w:val="0"/>
      <w:sz w:val="22"/>
      <w:szCs w:val="22"/>
      <w14:ligatures w14:val="none"/>
    </w:rPr>
  </w:style>
  <w:style w:type="paragraph" w:customStyle="1" w:styleId="BB69FBC714694F3F8170E44AD1B64BD1">
    <w:name w:val="BB69FBC714694F3F8170E44AD1B64BD1"/>
    <w:rsid w:val="00173FD2"/>
    <w:pPr>
      <w:spacing w:after="200" w:line="276" w:lineRule="auto"/>
    </w:pPr>
    <w:rPr>
      <w:rFonts w:eastAsiaTheme="minorHAnsi"/>
      <w:kern w:val="0"/>
      <w:sz w:val="22"/>
      <w:szCs w:val="22"/>
      <w14:ligatures w14:val="none"/>
    </w:rPr>
  </w:style>
  <w:style w:type="paragraph" w:customStyle="1" w:styleId="89217B1106F6423191F07CEF8F458898">
    <w:name w:val="89217B1106F6423191F07CEF8F458898"/>
    <w:rsid w:val="00173FD2"/>
    <w:pPr>
      <w:spacing w:after="200" w:line="276" w:lineRule="auto"/>
    </w:pPr>
    <w:rPr>
      <w:rFonts w:eastAsiaTheme="minorHAnsi"/>
      <w:kern w:val="0"/>
      <w:sz w:val="22"/>
      <w:szCs w:val="22"/>
      <w14:ligatures w14:val="none"/>
    </w:rPr>
  </w:style>
  <w:style w:type="paragraph" w:customStyle="1" w:styleId="0EC176984E7D4CAF960A0C28AA3E7E4B">
    <w:name w:val="0EC176984E7D4CAF960A0C28AA3E7E4B"/>
    <w:rsid w:val="00173FD2"/>
    <w:pPr>
      <w:spacing w:after="200" w:line="276" w:lineRule="auto"/>
    </w:pPr>
    <w:rPr>
      <w:rFonts w:eastAsiaTheme="minorHAnsi"/>
      <w:kern w:val="0"/>
      <w:sz w:val="22"/>
      <w:szCs w:val="22"/>
      <w14:ligatures w14:val="none"/>
    </w:rPr>
  </w:style>
  <w:style w:type="paragraph" w:customStyle="1" w:styleId="1D2064BB7BA040FD97829C5AE5F1AB97">
    <w:name w:val="1D2064BB7BA040FD97829C5AE5F1AB97"/>
    <w:rsid w:val="00173FD2"/>
    <w:pPr>
      <w:spacing w:after="200" w:line="276"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49EC6-FD6C-46DE-83A4-48C72912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4</Pages>
  <Words>724</Words>
  <Characters>4132</Characters>
  <Application>Microsoft Office Word</Application>
  <DocSecurity>0</DocSecurity>
  <Lines>34</Lines>
  <Paragraphs>9</Paragraphs>
  <ScaleCrop>false</ScaleCrop>
  <HeadingPairs>
    <vt:vector size="6" baseType="variant">
      <vt:variant>
        <vt:lpstr>Title</vt:lpstr>
      </vt:variant>
      <vt:variant>
        <vt:i4>1</vt:i4>
      </vt:variant>
      <vt:variant>
        <vt:lpstr>Cím</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Rakcevic</dc:creator>
  <cp:lastModifiedBy>Boburjon KH. Khushvaktov</cp:lastModifiedBy>
  <cp:revision>586</cp:revision>
  <cp:lastPrinted>2024-05-17T11:00:00Z</cp:lastPrinted>
  <dcterms:created xsi:type="dcterms:W3CDTF">2024-04-16T11:50:00Z</dcterms:created>
  <dcterms:modified xsi:type="dcterms:W3CDTF">2025-03-18T05:54:00Z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8ad49a3f291e05ba794552362c29be2796e9cbb1e2075b2ef2d828511ec13f70</vt:lpwstr>
  </property>
</Properties>
</file>